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4821B" w14:textId="192BBDFF" w:rsidR="00430613" w:rsidRDefault="00430613"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w:t>
      </w:r>
      <w:r w:rsidR="006F7A29">
        <w:rPr>
          <w:rFonts w:asciiTheme="minorHAnsi" w:eastAsiaTheme="minorEastAsia" w:hAnsiTheme="minorHAnsi" w:cstheme="minorHAnsi"/>
          <w:bCs/>
          <w:noProof w:val="0"/>
          <w:sz w:val="24"/>
          <w:szCs w:val="24"/>
          <w:lang w:eastAsia="zh-CN"/>
        </w:rPr>
        <w:t>1</w:t>
      </w:r>
      <w:r>
        <w:rPr>
          <w:rFonts w:asciiTheme="minorHAnsi" w:eastAsiaTheme="minorEastAsia" w:hAnsiTheme="minorHAnsi" w:cstheme="minorHAnsi"/>
          <w:bCs/>
          <w:noProof w:val="0"/>
          <w:sz w:val="24"/>
          <w:szCs w:val="24"/>
          <w:lang w:eastAsia="zh-CN"/>
        </w:rPr>
        <w:tab/>
      </w:r>
      <w:r w:rsidRPr="00F20106">
        <w:rPr>
          <w:rFonts w:asciiTheme="minorHAnsi" w:eastAsiaTheme="minorEastAsia" w:hAnsiTheme="minorHAnsi" w:cstheme="minorHAnsi"/>
          <w:bCs/>
          <w:noProof w:val="0"/>
          <w:sz w:val="24"/>
          <w:szCs w:val="24"/>
          <w:lang w:eastAsia="zh-CN"/>
        </w:rPr>
        <w:t>R4-24</w:t>
      </w:r>
      <w:r w:rsidR="0044429D" w:rsidRPr="0044429D">
        <w:rPr>
          <w:rFonts w:asciiTheme="minorHAnsi" w:eastAsiaTheme="minorEastAsia" w:hAnsiTheme="minorHAnsi" w:cstheme="minorHAnsi" w:hint="eastAsia"/>
          <w:bCs/>
          <w:noProof w:val="0"/>
          <w:sz w:val="24"/>
          <w:szCs w:val="24"/>
          <w:lang w:eastAsia="zh-CN"/>
        </w:rPr>
        <w:t>07700</w:t>
      </w:r>
    </w:p>
    <w:p w14:paraId="77502A82" w14:textId="7D4AD817" w:rsidR="00430613" w:rsidRDefault="006F7A29"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2" w:name="OLE_LINK1"/>
      <w:r>
        <w:rPr>
          <w:rFonts w:asciiTheme="minorHAnsi" w:eastAsiaTheme="minorEastAsia" w:hAnsiTheme="minorHAnsi" w:cstheme="minorHAnsi"/>
          <w:bCs/>
          <w:noProof w:val="0"/>
          <w:sz w:val="24"/>
          <w:szCs w:val="24"/>
          <w:lang w:eastAsia="zh-CN"/>
        </w:rPr>
        <w:t xml:space="preserve">Fukuoka </w:t>
      </w:r>
      <w:bookmarkEnd w:id="2"/>
      <w:r>
        <w:rPr>
          <w:rFonts w:asciiTheme="minorHAnsi" w:eastAsiaTheme="minorEastAsia" w:hAnsiTheme="minorHAnsi" w:cstheme="minorHAnsi"/>
          <w:bCs/>
          <w:noProof w:val="0"/>
          <w:sz w:val="24"/>
          <w:szCs w:val="24"/>
          <w:lang w:eastAsia="zh-CN"/>
        </w:rPr>
        <w:t>city</w:t>
      </w:r>
      <w:r w:rsidR="000C5CEF" w:rsidRPr="000C5CEF">
        <w:rPr>
          <w:rFonts w:asciiTheme="minorHAnsi" w:eastAsiaTheme="minorEastAsia" w:hAnsiTheme="minorHAnsi" w:cstheme="minorHAnsi"/>
          <w:bCs/>
          <w:noProof w:val="0"/>
          <w:sz w:val="24"/>
          <w:szCs w:val="24"/>
          <w:lang w:eastAsia="zh-CN"/>
        </w:rPr>
        <w:t xml:space="preserve">, </w:t>
      </w:r>
      <w:r w:rsidRPr="006F7A29">
        <w:rPr>
          <w:rFonts w:asciiTheme="minorHAnsi" w:eastAsiaTheme="minorEastAsia" w:hAnsiTheme="minorHAnsi" w:cstheme="minorHAnsi"/>
          <w:bCs/>
          <w:noProof w:val="0"/>
          <w:sz w:val="24"/>
          <w:szCs w:val="24"/>
          <w:lang w:eastAsia="zh-CN"/>
        </w:rPr>
        <w:t>Fukuoka</w:t>
      </w:r>
      <w:r w:rsidR="000C5CEF" w:rsidRPr="000C5CEF">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 xml:space="preserve">Japan, </w:t>
      </w:r>
      <w:r w:rsidRPr="006F7A29">
        <w:rPr>
          <w:rFonts w:asciiTheme="minorHAnsi" w:eastAsiaTheme="minorEastAsia" w:hAnsiTheme="minorHAnsi" w:cstheme="minorHAnsi"/>
          <w:bCs/>
          <w:noProof w:val="0"/>
          <w:sz w:val="24"/>
          <w:szCs w:val="24"/>
          <w:lang w:eastAsia="zh-CN"/>
        </w:rPr>
        <w:t>20</w:t>
      </w:r>
      <w:r w:rsidRPr="006F7A29">
        <w:rPr>
          <w:rFonts w:asciiTheme="minorHAnsi" w:eastAsiaTheme="minorEastAsia" w:hAnsiTheme="minorHAnsi" w:cstheme="minorHAnsi"/>
          <w:bCs/>
          <w:noProof w:val="0"/>
          <w:sz w:val="24"/>
          <w:szCs w:val="24"/>
          <w:vertAlign w:val="superscript"/>
          <w:lang w:eastAsia="zh-CN"/>
        </w:rPr>
        <w:t>th</w:t>
      </w:r>
      <w:r>
        <w:rPr>
          <w:rFonts w:asciiTheme="minorHAnsi" w:eastAsiaTheme="minorEastAsia" w:hAnsiTheme="minorHAnsi" w:cstheme="minorHAnsi"/>
          <w:bCs/>
          <w:noProof w:val="0"/>
          <w:sz w:val="24"/>
          <w:szCs w:val="24"/>
          <w:lang w:eastAsia="zh-CN"/>
        </w:rPr>
        <w:t xml:space="preserve"> </w:t>
      </w:r>
      <w:r w:rsidRPr="006F7A29">
        <w:rPr>
          <w:rFonts w:asciiTheme="minorHAnsi" w:eastAsiaTheme="minorEastAsia" w:hAnsiTheme="minorHAnsi" w:cstheme="minorHAnsi"/>
          <w:bCs/>
          <w:noProof w:val="0"/>
          <w:sz w:val="24"/>
          <w:szCs w:val="24"/>
          <w:lang w:eastAsia="zh-CN"/>
        </w:rPr>
        <w:t>– 24</w:t>
      </w:r>
      <w:r w:rsidRPr="006F7A29">
        <w:rPr>
          <w:rFonts w:asciiTheme="minorHAnsi" w:eastAsiaTheme="minorEastAsia" w:hAnsiTheme="minorHAnsi" w:cstheme="minorHAnsi"/>
          <w:bCs/>
          <w:noProof w:val="0"/>
          <w:sz w:val="24"/>
          <w:szCs w:val="24"/>
          <w:vertAlign w:val="superscript"/>
          <w:lang w:eastAsia="zh-CN"/>
        </w:rPr>
        <w:t>th</w:t>
      </w:r>
      <w:r>
        <w:rPr>
          <w:rFonts w:asciiTheme="minorHAnsi" w:eastAsiaTheme="minorEastAsia" w:hAnsiTheme="minorHAnsi" w:cstheme="minorHAnsi"/>
          <w:bCs/>
          <w:noProof w:val="0"/>
          <w:sz w:val="24"/>
          <w:szCs w:val="24"/>
          <w:lang w:eastAsia="zh-CN"/>
        </w:rPr>
        <w:t xml:space="preserve"> </w:t>
      </w:r>
      <w:r w:rsidR="00D7751B" w:rsidRPr="006F7A29">
        <w:rPr>
          <w:rFonts w:asciiTheme="minorHAnsi" w:eastAsiaTheme="minorEastAsia" w:hAnsiTheme="minorHAnsi" w:cstheme="minorHAnsi"/>
          <w:bCs/>
          <w:noProof w:val="0"/>
          <w:sz w:val="24"/>
          <w:szCs w:val="24"/>
          <w:lang w:eastAsia="zh-CN"/>
        </w:rPr>
        <w:t>May</w:t>
      </w:r>
      <w:r w:rsidRPr="006F7A29">
        <w:rPr>
          <w:rFonts w:asciiTheme="minorHAnsi" w:eastAsiaTheme="minorEastAsia" w:hAnsiTheme="minorHAnsi" w:cstheme="minorHAnsi"/>
          <w:bCs/>
          <w:noProof w:val="0"/>
          <w:sz w:val="24"/>
          <w:szCs w:val="24"/>
          <w:lang w:eastAsia="zh-CN"/>
        </w:rPr>
        <w:t xml:space="preserve"> 2024</w:t>
      </w:r>
      <w:r w:rsidR="00430613">
        <w:rPr>
          <w:rFonts w:asciiTheme="minorHAnsi" w:eastAsiaTheme="minorEastAsia" w:hAnsiTheme="minorHAnsi" w:cstheme="minorHAnsi"/>
          <w:bCs/>
          <w:noProof w:val="0"/>
          <w:sz w:val="24"/>
          <w:szCs w:val="24"/>
          <w:lang w:eastAsia="zh-CN"/>
        </w:rPr>
        <w:t xml:space="preserve"> </w:t>
      </w:r>
    </w:p>
    <w:bookmarkEnd w:id="1"/>
    <w:p w14:paraId="597BC239" w14:textId="474D101B" w:rsidR="00430613" w:rsidRDefault="00430613"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8A02CF">
        <w:rPr>
          <w:rFonts w:asciiTheme="minorHAnsi" w:eastAsiaTheme="minorEastAsia" w:hAnsiTheme="minorHAnsi" w:cstheme="minorHAnsi"/>
          <w:bCs/>
          <w:noProof w:val="0"/>
          <w:sz w:val="24"/>
          <w:szCs w:val="24"/>
          <w:lang w:eastAsia="zh-CN"/>
        </w:rPr>
        <w:t>10</w:t>
      </w:r>
      <w:r w:rsidR="00B42200" w:rsidRPr="00B42200">
        <w:rPr>
          <w:rFonts w:asciiTheme="minorHAnsi" w:eastAsiaTheme="minorEastAsia" w:hAnsiTheme="minorHAnsi" w:cstheme="minorHAnsi" w:hint="eastAsia"/>
          <w:bCs/>
          <w:noProof w:val="0"/>
          <w:sz w:val="24"/>
          <w:szCs w:val="24"/>
          <w:lang w:eastAsia="zh-CN"/>
        </w:rPr>
        <w:t>.3.4</w:t>
      </w:r>
      <w:r w:rsidR="008A02CF">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AD2154D" w:rsidR="00DA768D" w:rsidRPr="00B42200" w:rsidRDefault="00DA768D" w:rsidP="00DA768D">
      <w:pPr>
        <w:pStyle w:val="Header"/>
        <w:tabs>
          <w:tab w:val="right" w:pos="9639"/>
          <w:tab w:val="right" w:pos="13323"/>
        </w:tabs>
        <w:jc w:val="both"/>
        <w:rPr>
          <w:rFonts w:asciiTheme="minorHAnsi" w:eastAsia="新細明體"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Title: </w:t>
      </w:r>
      <w:r w:rsidR="008A02CF">
        <w:rPr>
          <w:rFonts w:asciiTheme="minorHAnsi" w:eastAsiaTheme="minorEastAsia" w:hAnsiTheme="minorHAnsi" w:cstheme="minorHAnsi"/>
          <w:bCs/>
          <w:noProof w:val="0"/>
          <w:sz w:val="24"/>
          <w:szCs w:val="24"/>
          <w:lang w:eastAsia="zh-CN"/>
        </w:rPr>
        <w:t>The radio and antenna parameters on 15GHz</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5814F734" w:rsidR="00357E4F" w:rsidRDefault="007744FC" w:rsidP="00357E4F">
      <w:pPr>
        <w:rPr>
          <w:rFonts w:eastAsia="SimSun"/>
        </w:rPr>
      </w:pPr>
      <w:r>
        <w:rPr>
          <w:rFonts w:eastAsia="SimSun"/>
        </w:rPr>
        <w:t xml:space="preserve">In </w:t>
      </w:r>
      <w:r w:rsidR="00A10F55">
        <w:rPr>
          <w:rFonts w:eastAsia="SimSun"/>
        </w:rPr>
        <w:t xml:space="preserve">RP#103 </w:t>
      </w:r>
      <w:r w:rsidR="000B06A9">
        <w:rPr>
          <w:rFonts w:eastAsia="SimSun"/>
        </w:rPr>
        <w:t>meeting</w:t>
      </w:r>
      <w:r>
        <w:rPr>
          <w:rFonts w:eastAsia="SimSun"/>
        </w:rPr>
        <w:t xml:space="preserve">, </w:t>
      </w:r>
      <w:r w:rsidR="00A10F55">
        <w:rPr>
          <w:rFonts w:eastAsia="SimSun"/>
        </w:rPr>
        <w:t>one SI [1] was approved to conduct the study on UE/BS parameters as requested by ITU</w:t>
      </w:r>
      <w:r w:rsidR="00327725">
        <w:rPr>
          <w:rFonts w:eastAsia="SimSun"/>
        </w:rPr>
        <w:t xml:space="preserve"> </w:t>
      </w:r>
      <w:r w:rsidR="00A10F55">
        <w:rPr>
          <w:rFonts w:eastAsia="SimSun"/>
        </w:rPr>
        <w:t xml:space="preserve">WP5D [2]. In this paper, we provide our high-level views </w:t>
      </w:r>
      <w:r w:rsidR="008A02CF">
        <w:rPr>
          <w:rFonts w:eastAsia="SimSun"/>
        </w:rPr>
        <w:t xml:space="preserve">of the radio and antenna parameters </w:t>
      </w:r>
      <w:r w:rsidR="00A10F55">
        <w:rPr>
          <w:rFonts w:eastAsia="SimSun"/>
        </w:rPr>
        <w:t>on the frequency range</w:t>
      </w:r>
      <w:r w:rsidR="008A02CF">
        <w:rPr>
          <w:rFonts w:eastAsia="SimSun"/>
        </w:rPr>
        <w:t xml:space="preserve"> of </w:t>
      </w:r>
      <w:r w:rsidR="00A10F55" w:rsidRPr="00A10F55">
        <w:rPr>
          <w:rFonts w:eastAsia="SimSun"/>
        </w:rPr>
        <w:t xml:space="preserve">14800 to 15350 </w:t>
      </w:r>
      <w:proofErr w:type="spellStart"/>
      <w:r w:rsidR="00A10F55" w:rsidRPr="00A10F55">
        <w:rPr>
          <w:rFonts w:eastAsia="SimSun"/>
        </w:rPr>
        <w:t>MHz</w:t>
      </w:r>
      <w:r w:rsidR="00866614" w:rsidRPr="0033662D">
        <w:rPr>
          <w:rFonts w:eastAsia="SimSun"/>
        </w:rPr>
        <w:t>.</w:t>
      </w:r>
      <w:proofErr w:type="spellEnd"/>
    </w:p>
    <w:p w14:paraId="52F0A027" w14:textId="667D6120" w:rsidR="00A10F55" w:rsidRPr="002508E6" w:rsidRDefault="00C51F3B" w:rsidP="002508E6">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3" w:name="_Hlk142679663"/>
      <w:bookmarkStart w:id="4" w:name="_Hlk162888154"/>
    </w:p>
    <w:p w14:paraId="3D39B544" w14:textId="2E37C6A6" w:rsidR="00C73CCD" w:rsidRDefault="00C73CCD" w:rsidP="00C73CCD">
      <w:pPr>
        <w:spacing w:beforeLines="50" w:before="120" w:afterLines="50" w:after="120"/>
        <w:jc w:val="both"/>
        <w:rPr>
          <w:rFonts w:eastAsia="新細明體" w:cstheme="minorHAnsi"/>
          <w:bCs/>
        </w:rPr>
      </w:pPr>
      <w:r w:rsidRPr="00C73CCD">
        <w:rPr>
          <w:rFonts w:eastAsia="新細明體" w:cstheme="minorHAnsi"/>
          <w:bCs/>
        </w:rPr>
        <w:t>In our previous contribution [3], we highlighted the importance of ensuring the same coverage for FR1 and 15 GHz deployments, as well as supporting the smartphone market. These are critical targets for the system design at 15 GHz, relying on advanced antenna techniques on both the UE and BS sides.</w:t>
      </w:r>
    </w:p>
    <w:p w14:paraId="1D95A6F9" w14:textId="6A095328" w:rsidR="005849B8" w:rsidRPr="00C1670C" w:rsidRDefault="005849B8" w:rsidP="005849B8">
      <w:pPr>
        <w:pStyle w:val="Caption"/>
        <w:rPr>
          <w:sz w:val="22"/>
          <w:szCs w:val="22"/>
        </w:rPr>
      </w:pPr>
      <w:bookmarkStart w:id="5" w:name="_Ref166066481"/>
      <w:r w:rsidRPr="005849B8">
        <w:rPr>
          <w:sz w:val="22"/>
          <w:szCs w:val="22"/>
        </w:rPr>
        <w:t xml:space="preserve">Proposal </w:t>
      </w:r>
      <w:r w:rsidRPr="00C1670C">
        <w:rPr>
          <w:sz w:val="22"/>
          <w:szCs w:val="22"/>
        </w:rPr>
        <w:fldChar w:fldCharType="begin"/>
      </w:r>
      <w:r w:rsidRPr="005849B8">
        <w:rPr>
          <w:sz w:val="22"/>
          <w:szCs w:val="22"/>
        </w:rPr>
        <w:instrText xml:space="preserve"> SEQ Proposal \* ARABIC </w:instrText>
      </w:r>
      <w:r w:rsidRPr="00C1670C">
        <w:rPr>
          <w:sz w:val="22"/>
          <w:szCs w:val="22"/>
        </w:rPr>
        <w:fldChar w:fldCharType="separate"/>
      </w:r>
      <w:r w:rsidR="001B7C91">
        <w:rPr>
          <w:noProof/>
          <w:sz w:val="22"/>
          <w:szCs w:val="22"/>
        </w:rPr>
        <w:t>1</w:t>
      </w:r>
      <w:r w:rsidRPr="00C1670C">
        <w:rPr>
          <w:sz w:val="22"/>
          <w:szCs w:val="22"/>
        </w:rPr>
        <w:fldChar w:fldCharType="end"/>
      </w:r>
      <w:r w:rsidRPr="005849B8">
        <w:rPr>
          <w:sz w:val="22"/>
          <w:szCs w:val="22"/>
        </w:rPr>
        <w:t>:</w:t>
      </w:r>
      <w:r w:rsidRPr="00C1670C">
        <w:rPr>
          <w:sz w:val="22"/>
          <w:szCs w:val="22"/>
        </w:rPr>
        <w:t xml:space="preserve"> In the study of IMT parameters for the 14800 to 15350 MHz frequency range, it is important to ensure the same coverage as FR1 deployment while also supporting the smartphone market</w:t>
      </w:r>
      <w:r w:rsidRPr="005849B8">
        <w:rPr>
          <w:sz w:val="22"/>
          <w:szCs w:val="22"/>
        </w:rPr>
        <w:t>.</w:t>
      </w:r>
    </w:p>
    <w:bookmarkEnd w:id="5"/>
    <w:p w14:paraId="2E4E9B12" w14:textId="77777777" w:rsidR="00BE00B5" w:rsidRDefault="00BE00B5" w:rsidP="00186468">
      <w:pPr>
        <w:spacing w:beforeLines="50" w:before="120" w:afterLines="50" w:after="120"/>
        <w:jc w:val="both"/>
        <w:rPr>
          <w:rFonts w:eastAsia="新細明體" w:cstheme="minorHAnsi"/>
          <w:bCs/>
        </w:rPr>
      </w:pPr>
    </w:p>
    <w:p w14:paraId="119BD17F" w14:textId="66E8EAC7" w:rsidR="0024390E" w:rsidRDefault="00315970" w:rsidP="00186468">
      <w:pPr>
        <w:spacing w:beforeLines="50" w:before="120" w:afterLines="50" w:after="120"/>
        <w:jc w:val="both"/>
        <w:rPr>
          <w:rFonts w:eastAsia="新細明體" w:cstheme="minorHAnsi"/>
          <w:bCs/>
        </w:rPr>
      </w:pPr>
      <w:r w:rsidRPr="00315970">
        <w:rPr>
          <w:rFonts w:eastAsia="新細明體" w:cstheme="minorHAnsi"/>
          <w:bCs/>
        </w:rPr>
        <w:t xml:space="preserve">The request from ITU WP5D calls for a study on the IMT parameters for radio and antenna at 15 GHz. </w:t>
      </w:r>
      <w:r w:rsidR="00CF7DFC">
        <w:rPr>
          <w:rFonts w:eastAsia="新細明體" w:cstheme="minorHAnsi"/>
          <w:bCs/>
        </w:rPr>
        <w:t>A</w:t>
      </w:r>
      <w:r w:rsidRPr="00315970">
        <w:rPr>
          <w:rFonts w:eastAsia="新細明體" w:cstheme="minorHAnsi"/>
          <w:bCs/>
        </w:rPr>
        <w:t xml:space="preserve"> </w:t>
      </w:r>
      <w:r w:rsidR="00CF7DFC">
        <w:rPr>
          <w:rFonts w:eastAsia="新細明體" w:cstheme="minorHAnsi"/>
          <w:bCs/>
        </w:rPr>
        <w:t>critical</w:t>
      </w:r>
      <w:r w:rsidRPr="00315970">
        <w:rPr>
          <w:rFonts w:eastAsia="新細明體" w:cstheme="minorHAnsi"/>
          <w:bCs/>
        </w:rPr>
        <w:t xml:space="preserve"> system implementation questions</w:t>
      </w:r>
      <w:r w:rsidR="00CF7DFC">
        <w:rPr>
          <w:rFonts w:eastAsia="新細明體" w:cstheme="minorHAnsi"/>
          <w:bCs/>
        </w:rPr>
        <w:t xml:space="preserve"> that </w:t>
      </w:r>
      <w:r w:rsidRPr="00315970">
        <w:rPr>
          <w:rFonts w:eastAsia="新細明體" w:cstheme="minorHAnsi"/>
          <w:bCs/>
        </w:rPr>
        <w:t xml:space="preserve">we </w:t>
      </w:r>
      <w:r w:rsidR="00CF7DFC">
        <w:rPr>
          <w:rFonts w:eastAsia="新細明體" w:cstheme="minorHAnsi"/>
          <w:bCs/>
        </w:rPr>
        <w:t>must</w:t>
      </w:r>
      <w:r w:rsidRPr="00315970">
        <w:rPr>
          <w:rFonts w:eastAsia="新細明體" w:cstheme="minorHAnsi"/>
          <w:bCs/>
        </w:rPr>
        <w:t xml:space="preserve"> address is whether to </w:t>
      </w:r>
      <w:r w:rsidR="00CF7DFC">
        <w:rPr>
          <w:rFonts w:eastAsia="新細明體" w:cstheme="minorHAnsi"/>
          <w:bCs/>
        </w:rPr>
        <w:t>choose</w:t>
      </w:r>
      <w:r w:rsidRPr="00315970">
        <w:rPr>
          <w:rFonts w:eastAsia="新細明體" w:cstheme="minorHAnsi"/>
          <w:bCs/>
        </w:rPr>
        <w:t xml:space="preserve"> an FR1-like omni</w:t>
      </w:r>
      <w:r w:rsidR="00CF7DFC">
        <w:rPr>
          <w:rFonts w:eastAsia="新細明體" w:cstheme="minorHAnsi"/>
          <w:bCs/>
        </w:rPr>
        <w:t>-directional</w:t>
      </w:r>
      <w:r w:rsidRPr="00315970">
        <w:rPr>
          <w:rFonts w:eastAsia="新細明體" w:cstheme="minorHAnsi"/>
          <w:bCs/>
        </w:rPr>
        <w:t xml:space="preserve"> antenna system or an FR2-like array antenna system</w:t>
      </w:r>
      <w:r w:rsidR="00CF7DFC">
        <w:rPr>
          <w:rFonts w:eastAsia="新細明體" w:cstheme="minorHAnsi"/>
          <w:bCs/>
        </w:rPr>
        <w:t xml:space="preserve"> in UE, given their distinct frequency positions</w:t>
      </w:r>
      <w:r w:rsidRPr="00315970">
        <w:rPr>
          <w:rFonts w:eastAsia="新細明體" w:cstheme="minorHAnsi"/>
          <w:bCs/>
        </w:rPr>
        <w:t xml:space="preserve">. An FR2-like array antenna system incorporates analog beamforming into the array antenna to increase the coherent EIRP gain, thus helping to reduce the </w:t>
      </w:r>
      <w:r w:rsidR="00F33F2A">
        <w:rPr>
          <w:rFonts w:eastAsia="新細明體" w:cstheme="minorHAnsi"/>
          <w:bCs/>
        </w:rPr>
        <w:t>pathloss</w:t>
      </w:r>
      <w:r w:rsidRPr="00315970">
        <w:rPr>
          <w:rFonts w:eastAsia="新細明體" w:cstheme="minorHAnsi"/>
          <w:bCs/>
        </w:rPr>
        <w:t xml:space="preserve"> between the user equipment (UE) and the base station. In an FR2-like system, the </w:t>
      </w:r>
      <w:r w:rsidRPr="004B5277">
        <w:rPr>
          <w:rFonts w:eastAsia="新細明體" w:cstheme="minorHAnsi"/>
          <w:bCs/>
        </w:rPr>
        <w:t xml:space="preserve">array antenna, LNAs, PAs, beamformers, and PMIC are integrated into a single package, known as an </w:t>
      </w:r>
      <w:r w:rsidR="00A728B3">
        <w:rPr>
          <w:rFonts w:eastAsia="新細明體" w:cstheme="minorHAnsi" w:hint="eastAsia"/>
          <w:bCs/>
        </w:rPr>
        <w:t>a</w:t>
      </w:r>
      <w:r w:rsidR="00A728B3">
        <w:rPr>
          <w:rFonts w:eastAsia="新細明體" w:cstheme="minorHAnsi"/>
          <w:bCs/>
        </w:rPr>
        <w:t>ntenna in package (</w:t>
      </w:r>
      <w:proofErr w:type="spellStart"/>
      <w:r w:rsidRPr="004B5277">
        <w:rPr>
          <w:rFonts w:eastAsia="新細明體" w:cstheme="minorHAnsi"/>
          <w:bCs/>
        </w:rPr>
        <w:t>AiP</w:t>
      </w:r>
      <w:proofErr w:type="spellEnd"/>
      <w:r w:rsidR="00A728B3">
        <w:rPr>
          <w:rFonts w:eastAsia="新細明體" w:cstheme="minorHAnsi"/>
          <w:bCs/>
        </w:rPr>
        <w:t>)</w:t>
      </w:r>
      <w:r w:rsidRPr="004B5277">
        <w:rPr>
          <w:rFonts w:eastAsia="新細明體" w:cstheme="minorHAnsi"/>
          <w:bCs/>
        </w:rPr>
        <w:t xml:space="preserve">, which imposes several limitations on system realization. Owing to the </w:t>
      </w:r>
      <w:proofErr w:type="spellStart"/>
      <w:r w:rsidRPr="004B5277">
        <w:rPr>
          <w:rFonts w:eastAsia="新細明體" w:cstheme="minorHAnsi"/>
          <w:bCs/>
        </w:rPr>
        <w:t>AiP's</w:t>
      </w:r>
      <w:proofErr w:type="spellEnd"/>
      <w:r w:rsidRPr="004B5277">
        <w:rPr>
          <w:rFonts w:eastAsia="新細明體" w:cstheme="minorHAnsi"/>
          <w:bCs/>
        </w:rPr>
        <w:t xml:space="preserve"> small form factor, the choice of technology for the active circuits is confined to </w:t>
      </w:r>
      <w:bookmarkStart w:id="6" w:name="OLE_LINK4"/>
      <w:r w:rsidR="00FD4BCE" w:rsidRPr="00FD4BCE">
        <w:rPr>
          <w:rFonts w:eastAsia="新細明體" w:cstheme="minorHAnsi"/>
          <w:bCs/>
        </w:rPr>
        <w:t>silicon-on-insulator</w:t>
      </w:r>
      <w:r w:rsidR="00FD4BCE" w:rsidRPr="00FD4BCE">
        <w:rPr>
          <w:rFonts w:eastAsia="新細明體" w:cstheme="minorHAnsi"/>
          <w:bCs/>
        </w:rPr>
        <w:t xml:space="preserve"> </w:t>
      </w:r>
      <w:r w:rsidR="00FD4BCE">
        <w:rPr>
          <w:rFonts w:eastAsia="新細明體" w:cstheme="minorHAnsi"/>
          <w:bCs/>
        </w:rPr>
        <w:t>(</w:t>
      </w:r>
      <w:r w:rsidRPr="004B5277">
        <w:rPr>
          <w:rFonts w:eastAsia="新細明體" w:cstheme="minorHAnsi"/>
          <w:bCs/>
        </w:rPr>
        <w:t>SOI</w:t>
      </w:r>
      <w:r w:rsidR="00FD4BCE">
        <w:rPr>
          <w:rFonts w:eastAsia="新細明體" w:cstheme="minorHAnsi"/>
          <w:bCs/>
        </w:rPr>
        <w:t>)</w:t>
      </w:r>
      <w:r w:rsidRPr="004B5277">
        <w:rPr>
          <w:rFonts w:eastAsia="新細明體" w:cstheme="minorHAnsi"/>
          <w:bCs/>
        </w:rPr>
        <w:t xml:space="preserve"> </w:t>
      </w:r>
      <w:bookmarkEnd w:id="6"/>
      <w:r w:rsidRPr="004B5277">
        <w:rPr>
          <w:rFonts w:eastAsia="新細明體" w:cstheme="minorHAnsi"/>
          <w:bCs/>
        </w:rPr>
        <w:t>o</w:t>
      </w:r>
      <w:r w:rsidRPr="00315970">
        <w:rPr>
          <w:rFonts w:eastAsia="新細明體" w:cstheme="minorHAnsi"/>
          <w:bCs/>
        </w:rPr>
        <w:t xml:space="preserve">r other high-integration technologies, limiting the use of high-efficiency technologies such as </w:t>
      </w:r>
      <w:r w:rsidR="00686479" w:rsidRPr="00686479">
        <w:rPr>
          <w:rFonts w:eastAsia="新細明體" w:cstheme="minorHAnsi"/>
          <w:bCs/>
        </w:rPr>
        <w:t>Gallium Arsenide</w:t>
      </w:r>
      <w:r w:rsidR="00686479" w:rsidRPr="00686479">
        <w:rPr>
          <w:rFonts w:eastAsia="新細明體" w:cstheme="minorHAnsi"/>
          <w:bCs/>
        </w:rPr>
        <w:t xml:space="preserve"> </w:t>
      </w:r>
      <w:r w:rsidR="00686479">
        <w:rPr>
          <w:rFonts w:eastAsia="新細明體" w:cstheme="minorHAnsi"/>
          <w:bCs/>
        </w:rPr>
        <w:t>(</w:t>
      </w:r>
      <w:r w:rsidRPr="00315970">
        <w:rPr>
          <w:rFonts w:eastAsia="新細明體" w:cstheme="minorHAnsi"/>
          <w:bCs/>
        </w:rPr>
        <w:t>GaAs</w:t>
      </w:r>
      <w:r w:rsidR="00686479">
        <w:rPr>
          <w:rFonts w:eastAsia="新細明體" w:cstheme="minorHAnsi"/>
          <w:bCs/>
        </w:rPr>
        <w:t>)</w:t>
      </w:r>
      <w:r w:rsidRPr="00315970">
        <w:rPr>
          <w:rFonts w:eastAsia="新細明體" w:cstheme="minorHAnsi"/>
          <w:bCs/>
        </w:rPr>
        <w:t xml:space="preserve">. Another significant constraint in an FR2-like system is that 3GPP conformance testing must be conducted using an OTA chamber, which adds complexity and uncertainty to product testing. The interconnects in the </w:t>
      </w:r>
      <w:proofErr w:type="spellStart"/>
      <w:r w:rsidRPr="00315970">
        <w:rPr>
          <w:rFonts w:eastAsia="新細明體" w:cstheme="minorHAnsi"/>
          <w:bCs/>
        </w:rPr>
        <w:t>AiP</w:t>
      </w:r>
      <w:proofErr w:type="spellEnd"/>
      <w:r w:rsidRPr="00315970">
        <w:rPr>
          <w:rFonts w:eastAsia="新細明體" w:cstheme="minorHAnsi"/>
          <w:bCs/>
        </w:rPr>
        <w:t xml:space="preserve"> should support multiple signal routings, including bias, controls, clocks, and signals, making this interface less cost-effective. Moreover, the FR2-like approach has limitations in supporting more than two downlink layers due to the complexity and overhead of beamforming control, as well as the total number of antenna elements required. For instance, an antenna array with four elements using analog beamforming to support four downlink layers would necessitate 16 antennas. </w:t>
      </w:r>
      <w:r w:rsidR="00C73CCD" w:rsidRPr="00C73CCD">
        <w:rPr>
          <w:rFonts w:eastAsia="新細明體" w:cstheme="minorHAnsi"/>
          <w:bCs/>
        </w:rPr>
        <w:t xml:space="preserve">Given the size constraints of antennas at 15 GHz, this could pose a significant challenge for implementation in </w:t>
      </w:r>
      <w:r w:rsidR="00851664">
        <w:rPr>
          <w:rFonts w:eastAsia="新細明體" w:cstheme="minorHAnsi"/>
          <w:bCs/>
        </w:rPr>
        <w:t xml:space="preserve">smartphone </w:t>
      </w:r>
      <w:r w:rsidR="00C73CCD" w:rsidRPr="00C73CCD">
        <w:rPr>
          <w:rFonts w:eastAsia="新細明體" w:cstheme="minorHAnsi"/>
          <w:bCs/>
        </w:rPr>
        <w:t>U</w:t>
      </w:r>
      <w:r w:rsidR="00C73CCD">
        <w:rPr>
          <w:rFonts w:eastAsia="新細明體" w:cstheme="minorHAnsi"/>
          <w:bCs/>
        </w:rPr>
        <w:t>E</w:t>
      </w:r>
      <w:r w:rsidR="00C73CCD" w:rsidRPr="00C73CCD">
        <w:rPr>
          <w:rFonts w:eastAsia="新細明體" w:cstheme="minorHAnsi"/>
          <w:bCs/>
        </w:rPr>
        <w:t xml:space="preserve">. From RRM perspective, analog beamforming </w:t>
      </w:r>
      <w:r w:rsidR="004C412F">
        <w:rPr>
          <w:rFonts w:eastAsia="新細明體" w:cstheme="minorHAnsi"/>
          <w:bCs/>
        </w:rPr>
        <w:t>requires</w:t>
      </w:r>
      <w:r w:rsidR="00C73CCD" w:rsidRPr="00C73CCD">
        <w:rPr>
          <w:rFonts w:eastAsia="新細明體" w:cstheme="minorHAnsi"/>
          <w:bCs/>
        </w:rPr>
        <w:t xml:space="preserve"> extra beam sweeping time for cell search, measurement, handover, RLM/BFD, </w:t>
      </w:r>
      <w:proofErr w:type="spellStart"/>
      <w:r w:rsidR="00C73CCD" w:rsidRPr="00C73CCD">
        <w:rPr>
          <w:rFonts w:eastAsia="新細明體" w:cstheme="minorHAnsi"/>
          <w:bCs/>
        </w:rPr>
        <w:t>SCel</w:t>
      </w:r>
      <w:r w:rsidR="00C73CCD">
        <w:rPr>
          <w:rFonts w:eastAsia="新細明體" w:cstheme="minorHAnsi"/>
          <w:bCs/>
        </w:rPr>
        <w:t>l</w:t>
      </w:r>
      <w:proofErr w:type="spellEnd"/>
      <w:r w:rsidR="00C73CCD" w:rsidRPr="00C73CCD">
        <w:rPr>
          <w:rFonts w:eastAsia="新細明體" w:cstheme="minorHAnsi"/>
          <w:bCs/>
        </w:rPr>
        <w:t xml:space="preserve"> activation, and other processes. These additional beam sweeping delays can compromise the robustness of mobility performance.</w:t>
      </w:r>
    </w:p>
    <w:p w14:paraId="2810BBDE" w14:textId="6B9E91F4" w:rsidR="00315970" w:rsidRPr="0024390E" w:rsidRDefault="00315970" w:rsidP="00E66B7D">
      <w:pPr>
        <w:pStyle w:val="Caption"/>
        <w:jc w:val="both"/>
        <w:rPr>
          <w:rFonts w:eastAsia="新細明體" w:cstheme="minorHAnsi"/>
          <w:bCs/>
          <w:sz w:val="22"/>
          <w:szCs w:val="22"/>
        </w:rPr>
      </w:pPr>
      <w:bookmarkStart w:id="7" w:name="OLE_LINK2"/>
      <w:bookmarkStart w:id="8" w:name="_Ref166066483"/>
      <w:bookmarkStart w:id="9" w:name="OLE_LINK3"/>
      <w:r w:rsidRPr="0024390E">
        <w:rPr>
          <w:sz w:val="22"/>
          <w:szCs w:val="22"/>
        </w:rPr>
        <w:t xml:space="preserve">Proposal </w:t>
      </w:r>
      <w:r w:rsidRPr="0024390E">
        <w:rPr>
          <w:sz w:val="22"/>
          <w:szCs w:val="22"/>
        </w:rPr>
        <w:fldChar w:fldCharType="begin"/>
      </w:r>
      <w:r w:rsidRPr="0024390E">
        <w:rPr>
          <w:sz w:val="22"/>
          <w:szCs w:val="22"/>
        </w:rPr>
        <w:instrText xml:space="preserve"> SEQ Proposal \* ARABIC </w:instrText>
      </w:r>
      <w:r w:rsidRPr="0024390E">
        <w:rPr>
          <w:sz w:val="22"/>
          <w:szCs w:val="22"/>
        </w:rPr>
        <w:fldChar w:fldCharType="separate"/>
      </w:r>
      <w:r w:rsidR="001B7C91">
        <w:rPr>
          <w:noProof/>
          <w:sz w:val="22"/>
          <w:szCs w:val="22"/>
        </w:rPr>
        <w:t>2</w:t>
      </w:r>
      <w:r w:rsidRPr="0024390E">
        <w:rPr>
          <w:sz w:val="22"/>
          <w:szCs w:val="22"/>
        </w:rPr>
        <w:fldChar w:fldCharType="end"/>
      </w:r>
      <w:r w:rsidRPr="0024390E">
        <w:rPr>
          <w:sz w:val="22"/>
          <w:szCs w:val="22"/>
        </w:rPr>
        <w:t xml:space="preserve">: </w:t>
      </w:r>
      <w:r w:rsidR="00CF7DFC" w:rsidRPr="0024390E">
        <w:rPr>
          <w:sz w:val="22"/>
          <w:szCs w:val="22"/>
        </w:rPr>
        <w:t>Considering constraints of the FR2-like antenna system, RAN4 should aim to implementation an FR1-like omni-directional antenna system in UE. This approach would leverage high-efficiency active technology, enable</w:t>
      </w:r>
      <w:bookmarkEnd w:id="7"/>
      <w:r w:rsidR="00CF7DFC" w:rsidRPr="0024390E">
        <w:rPr>
          <w:sz w:val="22"/>
          <w:szCs w:val="22"/>
        </w:rPr>
        <w:t xml:space="preserve"> conductive conformance testing, and support four or more downlink layers within the </w:t>
      </w:r>
      <w:r w:rsidR="00A85CC2">
        <w:rPr>
          <w:sz w:val="22"/>
          <w:szCs w:val="22"/>
        </w:rPr>
        <w:lastRenderedPageBreak/>
        <w:t>UE</w:t>
      </w:r>
      <w:r w:rsidR="00CF7DFC" w:rsidRPr="0024390E">
        <w:rPr>
          <w:sz w:val="22"/>
          <w:szCs w:val="22"/>
        </w:rPr>
        <w:t xml:space="preserve"> at 15GHz.</w:t>
      </w:r>
      <w:bookmarkEnd w:id="8"/>
    </w:p>
    <w:bookmarkEnd w:id="9"/>
    <w:p w14:paraId="3E8887A3" w14:textId="77777777" w:rsidR="00315970" w:rsidRDefault="00315970" w:rsidP="00186468">
      <w:pPr>
        <w:spacing w:beforeLines="50" w:before="120" w:afterLines="50" w:after="120"/>
        <w:jc w:val="both"/>
        <w:rPr>
          <w:rFonts w:eastAsia="新細明體" w:cstheme="minorHAnsi"/>
          <w:bCs/>
        </w:rPr>
      </w:pPr>
    </w:p>
    <w:p w14:paraId="5C3614BB" w14:textId="3CAE309D" w:rsidR="00186468" w:rsidRDefault="00CF7DFC" w:rsidP="00186468">
      <w:pPr>
        <w:spacing w:beforeLines="50" w:before="120" w:afterLines="50" w:after="120"/>
        <w:jc w:val="both"/>
        <w:rPr>
          <w:rFonts w:eastAsia="新細明體" w:cstheme="minorHAnsi"/>
          <w:bCs/>
        </w:rPr>
      </w:pPr>
      <w:r>
        <w:rPr>
          <w:rFonts w:eastAsia="新細明體" w:cstheme="minorHAnsi"/>
          <w:bCs/>
        </w:rPr>
        <w:t>The advantage of</w:t>
      </w:r>
      <w:r w:rsidR="0024390E">
        <w:rPr>
          <w:rFonts w:eastAsia="新細明體" w:cstheme="minorHAnsi"/>
          <w:bCs/>
        </w:rPr>
        <w:t xml:space="preserve"> </w:t>
      </w:r>
      <w:r>
        <w:rPr>
          <w:rFonts w:eastAsia="新細明體" w:cstheme="minorHAnsi"/>
          <w:bCs/>
        </w:rPr>
        <w:t>an</w:t>
      </w:r>
      <w:r w:rsidR="0024390E">
        <w:rPr>
          <w:rFonts w:eastAsia="新細明體" w:cstheme="minorHAnsi"/>
          <w:bCs/>
        </w:rPr>
        <w:t xml:space="preserve"> FR2-like</w:t>
      </w:r>
      <w:r>
        <w:rPr>
          <w:rFonts w:eastAsia="新細明體" w:cstheme="minorHAnsi"/>
          <w:bCs/>
        </w:rPr>
        <w:t xml:space="preserve"> analog beamforming system</w:t>
      </w:r>
      <w:r w:rsidR="0024390E">
        <w:rPr>
          <w:rFonts w:eastAsia="新細明體" w:cstheme="minorHAnsi"/>
          <w:bCs/>
        </w:rPr>
        <w:t xml:space="preserve"> is its coh</w:t>
      </w:r>
      <w:r>
        <w:rPr>
          <w:rFonts w:eastAsia="新細明體" w:cstheme="minorHAnsi"/>
          <w:bCs/>
        </w:rPr>
        <w:t>erent EIRP gain</w:t>
      </w:r>
      <w:r w:rsidR="00EA1920">
        <w:rPr>
          <w:rFonts w:eastAsia="新細明體" w:cstheme="minorHAnsi"/>
          <w:bCs/>
        </w:rPr>
        <w:t>. Consequently, a</w:t>
      </w:r>
      <w:r>
        <w:rPr>
          <w:rFonts w:eastAsia="新細明體" w:cstheme="minorHAnsi"/>
          <w:bCs/>
        </w:rPr>
        <w:t xml:space="preserve">n FR1-like omni-directional antenna system may </w:t>
      </w:r>
      <w:r w:rsidR="00EA1920">
        <w:rPr>
          <w:rFonts w:eastAsia="新細明體" w:cstheme="minorHAnsi"/>
          <w:bCs/>
        </w:rPr>
        <w:t xml:space="preserve">face some </w:t>
      </w:r>
      <w:r>
        <w:rPr>
          <w:rFonts w:eastAsia="新細明體" w:cstheme="minorHAnsi"/>
          <w:bCs/>
        </w:rPr>
        <w:t>disadvantages in</w:t>
      </w:r>
      <w:r w:rsidR="00EA1920">
        <w:rPr>
          <w:rFonts w:eastAsia="新細明體" w:cstheme="minorHAnsi"/>
          <w:bCs/>
        </w:rPr>
        <w:t xml:space="preserve"> terms of</w:t>
      </w:r>
      <w:r>
        <w:rPr>
          <w:rFonts w:eastAsia="新細明體" w:cstheme="minorHAnsi"/>
          <w:bCs/>
        </w:rPr>
        <w:t xml:space="preserve"> cover distance </w:t>
      </w:r>
      <w:r w:rsidR="00EA1920">
        <w:rPr>
          <w:rFonts w:eastAsia="新細明體" w:cstheme="minorHAnsi"/>
          <w:bCs/>
        </w:rPr>
        <w:t xml:space="preserve">due to the absence of analog beamforming. </w:t>
      </w:r>
      <w:r>
        <w:rPr>
          <w:rFonts w:eastAsia="新細明體" w:cstheme="minorHAnsi"/>
          <w:bCs/>
        </w:rPr>
        <w:t>To minimize th</w:t>
      </w:r>
      <w:r w:rsidR="0024390E">
        <w:rPr>
          <w:rFonts w:eastAsia="新細明體" w:cstheme="minorHAnsi"/>
          <w:bCs/>
        </w:rPr>
        <w:t>e</w:t>
      </w:r>
      <w:r>
        <w:rPr>
          <w:rFonts w:eastAsia="新細明體" w:cstheme="minorHAnsi"/>
          <w:bCs/>
        </w:rPr>
        <w:t xml:space="preserve">se shortcomings, FR1-like antenna system could incorporate high power and high efficiency PA technologies such as GaAs. </w:t>
      </w:r>
      <w:r w:rsidR="0024390E">
        <w:rPr>
          <w:rFonts w:eastAsia="新細明體" w:cstheme="minorHAnsi"/>
          <w:bCs/>
        </w:rPr>
        <w:t>Typically,</w:t>
      </w:r>
      <w:r>
        <w:rPr>
          <w:rFonts w:eastAsia="新細明體" w:cstheme="minorHAnsi"/>
          <w:bCs/>
        </w:rPr>
        <w:t xml:space="preserve"> </w:t>
      </w:r>
      <w:r w:rsidR="0024390E">
        <w:rPr>
          <w:rFonts w:eastAsia="新細明體" w:cstheme="minorHAnsi"/>
          <w:bCs/>
        </w:rPr>
        <w:t xml:space="preserve">the </w:t>
      </w:r>
      <w:r>
        <w:rPr>
          <w:rFonts w:eastAsia="新細明體" w:cstheme="minorHAnsi"/>
          <w:bCs/>
        </w:rPr>
        <w:t xml:space="preserve">power and efficiency of </w:t>
      </w:r>
      <w:r w:rsidR="0024390E">
        <w:rPr>
          <w:rFonts w:eastAsia="新細明體" w:cstheme="minorHAnsi"/>
          <w:bCs/>
        </w:rPr>
        <w:t>an</w:t>
      </w:r>
      <w:r>
        <w:rPr>
          <w:rFonts w:eastAsia="新細明體" w:cstheme="minorHAnsi"/>
          <w:bCs/>
        </w:rPr>
        <w:t xml:space="preserve"> </w:t>
      </w:r>
      <w:proofErr w:type="spellStart"/>
      <w:r>
        <w:rPr>
          <w:rFonts w:eastAsia="新細明體" w:cstheme="minorHAnsi"/>
          <w:bCs/>
        </w:rPr>
        <w:t>AiP</w:t>
      </w:r>
      <w:proofErr w:type="spellEnd"/>
      <w:r>
        <w:rPr>
          <w:rFonts w:eastAsia="新細明體" w:cstheme="minorHAnsi"/>
          <w:bCs/>
        </w:rPr>
        <w:t xml:space="preserve"> based SOI PA are 15dBm and 15%, respectively</w:t>
      </w:r>
      <w:r w:rsidR="0024390E">
        <w:rPr>
          <w:rFonts w:eastAsia="新細明體" w:cstheme="minorHAnsi"/>
          <w:bCs/>
        </w:rPr>
        <w:t>,</w:t>
      </w:r>
      <w:r>
        <w:rPr>
          <w:rFonts w:eastAsia="新細明體" w:cstheme="minorHAnsi"/>
          <w:bCs/>
        </w:rPr>
        <w:t xml:space="preserve"> while </w:t>
      </w:r>
      <w:r w:rsidR="0024390E">
        <w:rPr>
          <w:rFonts w:eastAsia="新細明體" w:cstheme="minorHAnsi"/>
          <w:bCs/>
        </w:rPr>
        <w:t>a</w:t>
      </w:r>
      <w:r>
        <w:rPr>
          <w:rFonts w:eastAsia="新細明體" w:cstheme="minorHAnsi"/>
          <w:bCs/>
        </w:rPr>
        <w:t xml:space="preserve"> GaAs based PA could </w:t>
      </w:r>
      <w:r w:rsidR="0024390E">
        <w:rPr>
          <w:rFonts w:eastAsia="新細明體" w:cstheme="minorHAnsi"/>
          <w:bCs/>
        </w:rPr>
        <w:t xml:space="preserve">deliver an </w:t>
      </w:r>
      <w:r>
        <w:rPr>
          <w:rFonts w:eastAsia="新細明體" w:cstheme="minorHAnsi"/>
          <w:bCs/>
        </w:rPr>
        <w:t>output power of 27dB</w:t>
      </w:r>
      <w:r w:rsidR="0024390E">
        <w:rPr>
          <w:rFonts w:eastAsia="新細明體" w:cstheme="minorHAnsi"/>
          <w:bCs/>
        </w:rPr>
        <w:t>m</w:t>
      </w:r>
      <w:r>
        <w:rPr>
          <w:rFonts w:eastAsia="新細明體" w:cstheme="minorHAnsi"/>
          <w:bCs/>
        </w:rPr>
        <w:t xml:space="preserve"> and </w:t>
      </w:r>
      <w:r w:rsidR="0024390E">
        <w:rPr>
          <w:rFonts w:eastAsia="新細明體" w:cstheme="minorHAnsi"/>
          <w:bCs/>
        </w:rPr>
        <w:t xml:space="preserve">an </w:t>
      </w:r>
      <w:r>
        <w:rPr>
          <w:rFonts w:eastAsia="新細明體" w:cstheme="minorHAnsi"/>
          <w:bCs/>
        </w:rPr>
        <w:t xml:space="preserve">efficiency of 45%. For </w:t>
      </w:r>
      <w:r w:rsidR="0024390E">
        <w:rPr>
          <w:rFonts w:eastAsia="新細明體" w:cstheme="minorHAnsi"/>
          <w:bCs/>
        </w:rPr>
        <w:t>instance</w:t>
      </w:r>
      <w:r>
        <w:rPr>
          <w:rFonts w:eastAsia="新細明體" w:cstheme="minorHAnsi"/>
          <w:bCs/>
        </w:rPr>
        <w:t xml:space="preserve">, the 12dB EIRP </w:t>
      </w:r>
      <w:r w:rsidR="0024390E">
        <w:rPr>
          <w:rFonts w:eastAsia="新細明體" w:cstheme="minorHAnsi"/>
          <w:bCs/>
        </w:rPr>
        <w:t>difference</w:t>
      </w:r>
      <w:r>
        <w:rPr>
          <w:rFonts w:eastAsia="新細明體" w:cstheme="minorHAnsi"/>
          <w:bCs/>
        </w:rPr>
        <w:t xml:space="preserve"> between </w:t>
      </w:r>
      <w:r w:rsidR="0024390E">
        <w:rPr>
          <w:rFonts w:eastAsia="新細明體" w:cstheme="minorHAnsi"/>
          <w:bCs/>
        </w:rPr>
        <w:t>a</w:t>
      </w:r>
      <w:r>
        <w:rPr>
          <w:rFonts w:eastAsia="新細明體" w:cstheme="minorHAnsi"/>
          <w:bCs/>
        </w:rPr>
        <w:t xml:space="preserve"> 4</w:t>
      </w:r>
      <w:r w:rsidR="0024390E">
        <w:rPr>
          <w:rFonts w:eastAsia="新細明體" w:cstheme="minorHAnsi"/>
          <w:bCs/>
        </w:rPr>
        <w:t>-</w:t>
      </w:r>
      <w:r>
        <w:rPr>
          <w:rFonts w:eastAsia="新細明體" w:cstheme="minorHAnsi"/>
          <w:bCs/>
        </w:rPr>
        <w:t>antenna FR2-like system and</w:t>
      </w:r>
      <w:r w:rsidR="0024390E">
        <w:rPr>
          <w:rFonts w:eastAsia="新細明體" w:cstheme="minorHAnsi"/>
          <w:bCs/>
        </w:rPr>
        <w:t xml:space="preserve"> a</w:t>
      </w:r>
      <w:r>
        <w:rPr>
          <w:rFonts w:eastAsia="新細明體" w:cstheme="minorHAnsi"/>
          <w:bCs/>
        </w:rPr>
        <w:t xml:space="preserve"> 1</w:t>
      </w:r>
      <w:r w:rsidR="0024390E">
        <w:rPr>
          <w:rFonts w:eastAsia="新細明體" w:cstheme="minorHAnsi"/>
          <w:bCs/>
        </w:rPr>
        <w:t>-</w:t>
      </w:r>
      <w:r>
        <w:rPr>
          <w:rFonts w:eastAsia="新細明體" w:cstheme="minorHAnsi"/>
          <w:bCs/>
        </w:rPr>
        <w:t xml:space="preserve">antenna FR1-like system can be easily compensated </w:t>
      </w:r>
      <w:r w:rsidR="0024390E">
        <w:rPr>
          <w:rFonts w:eastAsia="新細明體" w:cstheme="minorHAnsi"/>
          <w:bCs/>
        </w:rPr>
        <w:t xml:space="preserve">for </w:t>
      </w:r>
      <w:r>
        <w:rPr>
          <w:rFonts w:eastAsia="新細明體" w:cstheme="minorHAnsi"/>
          <w:bCs/>
        </w:rPr>
        <w:t>by incorporating</w:t>
      </w:r>
      <w:r w:rsidR="0024390E">
        <w:rPr>
          <w:rFonts w:eastAsia="新細明體" w:cstheme="minorHAnsi"/>
          <w:bCs/>
        </w:rPr>
        <w:t xml:space="preserve"> a</w:t>
      </w:r>
      <w:r>
        <w:rPr>
          <w:rFonts w:eastAsia="新細明體" w:cstheme="minorHAnsi"/>
          <w:bCs/>
        </w:rPr>
        <w:t xml:space="preserve"> GaAs PA. </w:t>
      </w:r>
      <w:r w:rsidR="0024390E">
        <w:rPr>
          <w:rFonts w:eastAsia="新細明體" w:cstheme="minorHAnsi"/>
          <w:bCs/>
        </w:rPr>
        <w:t xml:space="preserve">An </w:t>
      </w:r>
      <w:r>
        <w:rPr>
          <w:rFonts w:eastAsia="新細明體" w:cstheme="minorHAnsi"/>
          <w:bCs/>
        </w:rPr>
        <w:t>FR1-like system with multiple antennas could</w:t>
      </w:r>
      <w:r w:rsidR="0024390E">
        <w:rPr>
          <w:rFonts w:eastAsia="新細明體" w:cstheme="minorHAnsi"/>
          <w:bCs/>
        </w:rPr>
        <w:t xml:space="preserve"> achieve </w:t>
      </w:r>
      <w:r>
        <w:rPr>
          <w:rFonts w:eastAsia="新細明體" w:cstheme="minorHAnsi"/>
          <w:bCs/>
        </w:rPr>
        <w:t xml:space="preserve">coherent EIRP gain </w:t>
      </w:r>
      <w:r w:rsidR="0024390E">
        <w:rPr>
          <w:rFonts w:eastAsia="新細明體" w:cstheme="minorHAnsi"/>
          <w:bCs/>
        </w:rPr>
        <w:t xml:space="preserve">through the strategic placement of </w:t>
      </w:r>
      <w:r>
        <w:rPr>
          <w:rFonts w:eastAsia="新細明體" w:cstheme="minorHAnsi"/>
          <w:bCs/>
        </w:rPr>
        <w:t xml:space="preserve">co-directional and co-located antennas when coherent Tx is implemented. Each antenna in </w:t>
      </w:r>
      <w:r w:rsidR="0024390E">
        <w:rPr>
          <w:rFonts w:eastAsia="新細明體" w:cstheme="minorHAnsi"/>
          <w:bCs/>
        </w:rPr>
        <w:t xml:space="preserve">an </w:t>
      </w:r>
      <w:r>
        <w:rPr>
          <w:rFonts w:eastAsia="新細明體" w:cstheme="minorHAnsi"/>
          <w:bCs/>
        </w:rPr>
        <w:t>FR1-like system is linked to its</w:t>
      </w:r>
      <w:r w:rsidR="0024390E">
        <w:rPr>
          <w:rFonts w:eastAsia="新細明體" w:cstheme="minorHAnsi"/>
          <w:bCs/>
        </w:rPr>
        <w:t xml:space="preserve"> own</w:t>
      </w:r>
      <w:r>
        <w:rPr>
          <w:rFonts w:eastAsia="新細明體" w:cstheme="minorHAnsi"/>
          <w:bCs/>
        </w:rPr>
        <w:t xml:space="preserve"> digital chain, </w:t>
      </w:r>
      <w:r w:rsidR="0024390E">
        <w:rPr>
          <w:rFonts w:eastAsia="新細明體" w:cstheme="minorHAnsi"/>
          <w:bCs/>
        </w:rPr>
        <w:t xml:space="preserve">allowing for easy support of </w:t>
      </w:r>
      <w:r>
        <w:rPr>
          <w:rFonts w:eastAsia="新細明體" w:cstheme="minorHAnsi"/>
          <w:bCs/>
        </w:rPr>
        <w:t>coherent Tx. Th</w:t>
      </w:r>
      <w:r w:rsidR="0024390E">
        <w:rPr>
          <w:rFonts w:eastAsia="新細明體" w:cstheme="minorHAnsi"/>
          <w:bCs/>
        </w:rPr>
        <w:t xml:space="preserve">is coherent Tx gain offers two major advantages: it can reduce the PA power requirement for each antenna element, thus enhancing the overall power consumption of the UE at 15GHz, and it can help increase the coverage distance between the base station and the UE, which is especially important for co-located FR1 and </w:t>
      </w:r>
      <w:r w:rsidR="00A85CC2">
        <w:rPr>
          <w:rFonts w:eastAsia="新細明體" w:cstheme="minorHAnsi"/>
          <w:bCs/>
        </w:rPr>
        <w:t xml:space="preserve">15GHz </w:t>
      </w:r>
      <w:r w:rsidR="0024390E">
        <w:rPr>
          <w:rFonts w:eastAsia="新細明體" w:cstheme="minorHAnsi"/>
          <w:bCs/>
        </w:rPr>
        <w:t xml:space="preserve">base stations. With an increased number of base station antenna elements and the implementation of coherent Tx from the UE, the coverage gap between the FR1 and </w:t>
      </w:r>
      <w:r w:rsidR="00A85CC2">
        <w:rPr>
          <w:rFonts w:eastAsia="新細明體" w:cstheme="minorHAnsi"/>
          <w:bCs/>
        </w:rPr>
        <w:t xml:space="preserve">15GHz </w:t>
      </w:r>
      <w:r w:rsidR="0024390E">
        <w:rPr>
          <w:rFonts w:eastAsia="新細明體" w:cstheme="minorHAnsi"/>
          <w:bCs/>
        </w:rPr>
        <w:t>system can be minimized</w:t>
      </w:r>
      <w:r>
        <w:rPr>
          <w:rFonts w:eastAsia="新細明體" w:cstheme="minorHAnsi"/>
          <w:bCs/>
        </w:rPr>
        <w:t xml:space="preserve">. </w:t>
      </w:r>
    </w:p>
    <w:p w14:paraId="4566F7ED" w14:textId="1D39789C" w:rsidR="0024390E" w:rsidRPr="00E43A76" w:rsidRDefault="00696EDE" w:rsidP="00E66B7D">
      <w:pPr>
        <w:pStyle w:val="Caption"/>
        <w:jc w:val="both"/>
        <w:rPr>
          <w:sz w:val="22"/>
          <w:szCs w:val="22"/>
        </w:rPr>
      </w:pPr>
      <w:bookmarkStart w:id="10" w:name="_Ref166066484"/>
      <w:r w:rsidRPr="005849B8">
        <w:rPr>
          <w:sz w:val="22"/>
          <w:szCs w:val="22"/>
        </w:rPr>
        <w:t xml:space="preserve">Proposal </w:t>
      </w:r>
      <w:r w:rsidRPr="005849B8">
        <w:rPr>
          <w:sz w:val="22"/>
          <w:szCs w:val="22"/>
        </w:rPr>
        <w:fldChar w:fldCharType="begin"/>
      </w:r>
      <w:r w:rsidRPr="005849B8">
        <w:rPr>
          <w:sz w:val="22"/>
          <w:szCs w:val="22"/>
        </w:rPr>
        <w:instrText xml:space="preserve"> SEQ Proposal \* ARABIC </w:instrText>
      </w:r>
      <w:r w:rsidRPr="005849B8">
        <w:rPr>
          <w:sz w:val="22"/>
          <w:szCs w:val="22"/>
        </w:rPr>
        <w:fldChar w:fldCharType="separate"/>
      </w:r>
      <w:r w:rsidR="001B7C91">
        <w:rPr>
          <w:noProof/>
          <w:sz w:val="22"/>
          <w:szCs w:val="22"/>
        </w:rPr>
        <w:t>3</w:t>
      </w:r>
      <w:r w:rsidRPr="005849B8">
        <w:rPr>
          <w:sz w:val="22"/>
          <w:szCs w:val="22"/>
        </w:rPr>
        <w:fldChar w:fldCharType="end"/>
      </w:r>
      <w:r w:rsidRPr="005849B8">
        <w:rPr>
          <w:sz w:val="22"/>
          <w:szCs w:val="22"/>
        </w:rPr>
        <w:t>: For the 15GHz UE, it is proposed to implement multiple FR1-like antennas that are co-directional and co-located, along with coherent Tx. This approach in antenna system design aims to relaxes the power requirements for the individual antenna PAs and to extend the coverage distance at 15GHz.</w:t>
      </w:r>
      <w:bookmarkEnd w:id="10"/>
    </w:p>
    <w:p w14:paraId="51888836" w14:textId="77777777" w:rsidR="00A90B04" w:rsidRPr="007E13D9" w:rsidRDefault="00A90B04" w:rsidP="007E13D9">
      <w:pPr>
        <w:rPr>
          <w:rFonts w:eastAsia="新細明體"/>
        </w:rPr>
      </w:pPr>
    </w:p>
    <w:bookmarkEnd w:id="3"/>
    <w:bookmarkEnd w:id="4"/>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53B958E2" w14:textId="63E87A83" w:rsidR="00C73CCD" w:rsidRDefault="006F7557" w:rsidP="00A10F55">
      <w:pPr>
        <w:adjustRightInd w:val="0"/>
        <w:snapToGrid w:val="0"/>
        <w:spacing w:before="180" w:after="120"/>
        <w:rPr>
          <w:rFonts w:eastAsia="新細明體"/>
        </w:rPr>
      </w:pPr>
      <w:r w:rsidRPr="00615B29">
        <w:rPr>
          <w:rFonts w:hint="eastAsia"/>
        </w:rPr>
        <w:t xml:space="preserve">In this </w:t>
      </w:r>
      <w:r w:rsidRPr="00615B29">
        <w:t>paper,</w:t>
      </w:r>
      <w:r w:rsidR="00FB24ED" w:rsidRPr="00615B29">
        <w:rPr>
          <w:rFonts w:hint="eastAsia"/>
        </w:rPr>
        <w:t xml:space="preserve"> </w:t>
      </w:r>
      <w:bookmarkStart w:id="11" w:name="_Hlk142597625"/>
      <w:r w:rsidR="00A90B04">
        <w:t xml:space="preserve">we </w:t>
      </w:r>
      <w:r w:rsidR="00311C8C">
        <w:t xml:space="preserve">have presented </w:t>
      </w:r>
      <w:r w:rsidR="00A90B04">
        <w:t xml:space="preserve">our view </w:t>
      </w:r>
      <w:r w:rsidR="00FD4B7D">
        <w:t xml:space="preserve">on </w:t>
      </w:r>
      <w:r w:rsidR="00311C8C">
        <w:t>the</w:t>
      </w:r>
      <w:r w:rsidR="0024390E">
        <w:t xml:space="preserve"> 15GHz antenna system implementation, and</w:t>
      </w:r>
      <w:r w:rsidR="00A90B04">
        <w:rPr>
          <w:rFonts w:eastAsia="新細明體"/>
        </w:rPr>
        <w:t xml:space="preserve"> </w:t>
      </w:r>
      <w:r w:rsidR="0024390E">
        <w:rPr>
          <w:rFonts w:eastAsia="新細明體"/>
        </w:rPr>
        <w:t>w</w:t>
      </w:r>
      <w:r w:rsidR="00A90B04">
        <w:rPr>
          <w:rFonts w:eastAsia="新細明體"/>
        </w:rPr>
        <w:t xml:space="preserve">e have </w:t>
      </w:r>
      <w:r w:rsidR="00311C8C">
        <w:rPr>
          <w:rFonts w:eastAsia="新細明體"/>
        </w:rPr>
        <w:t xml:space="preserve">made </w:t>
      </w:r>
      <w:r w:rsidR="00A90B04">
        <w:rPr>
          <w:rFonts w:eastAsia="新細明體"/>
        </w:rPr>
        <w:t>the following proposals:</w:t>
      </w:r>
    </w:p>
    <w:bookmarkEnd w:id="11"/>
    <w:p w14:paraId="48539725" w14:textId="77777777" w:rsidR="001B7C91" w:rsidRPr="001B7C91" w:rsidRDefault="00696EDE" w:rsidP="005849B8">
      <w:pPr>
        <w:pStyle w:val="Caption"/>
        <w:rPr>
          <w:sz w:val="24"/>
          <w:szCs w:val="24"/>
        </w:rPr>
      </w:pPr>
      <w:r w:rsidRPr="008C31DB">
        <w:rPr>
          <w:sz w:val="24"/>
          <w:szCs w:val="24"/>
        </w:rPr>
        <w:fldChar w:fldCharType="begin"/>
      </w:r>
      <w:r w:rsidRPr="008C31DB">
        <w:rPr>
          <w:sz w:val="24"/>
          <w:szCs w:val="24"/>
        </w:rPr>
        <w:instrText xml:space="preserve"> </w:instrText>
      </w:r>
      <w:r w:rsidRPr="008C31DB">
        <w:rPr>
          <w:rFonts w:hint="eastAsia"/>
          <w:sz w:val="24"/>
          <w:szCs w:val="24"/>
        </w:rPr>
        <w:instrText>REF _Ref166066481 \h</w:instrText>
      </w:r>
      <w:r w:rsidRPr="008C31DB">
        <w:rPr>
          <w:sz w:val="24"/>
          <w:szCs w:val="24"/>
        </w:rPr>
        <w:instrText xml:space="preserve"> </w:instrText>
      </w:r>
      <w:r w:rsidR="005849B8" w:rsidRPr="008C31DB">
        <w:rPr>
          <w:sz w:val="24"/>
          <w:szCs w:val="24"/>
        </w:rPr>
        <w:instrText xml:space="preserve"> \* MERGEFORMAT </w:instrText>
      </w:r>
      <w:r w:rsidRPr="008C31DB">
        <w:rPr>
          <w:sz w:val="24"/>
          <w:szCs w:val="24"/>
        </w:rPr>
      </w:r>
      <w:r w:rsidRPr="008C31DB">
        <w:rPr>
          <w:sz w:val="24"/>
          <w:szCs w:val="24"/>
        </w:rPr>
        <w:fldChar w:fldCharType="separate"/>
      </w:r>
      <w:r w:rsidR="001B7C91" w:rsidRPr="001B7C91">
        <w:rPr>
          <w:sz w:val="24"/>
          <w:szCs w:val="24"/>
        </w:rPr>
        <w:t>Proposal 1: In the study of IMT parameters for the 14800 to 15350 MHz frequency range, it is important to ensure the same coverage as FR1 deployment while also supporting the smartphone market.</w:t>
      </w:r>
    </w:p>
    <w:p w14:paraId="6D54A216" w14:textId="342BED12" w:rsidR="00696EDE" w:rsidRPr="008C31DB" w:rsidRDefault="00696EDE" w:rsidP="00696EDE">
      <w:pPr>
        <w:rPr>
          <w:b/>
          <w:szCs w:val="24"/>
        </w:rPr>
      </w:pPr>
      <w:r w:rsidRPr="008C31DB">
        <w:rPr>
          <w:b/>
          <w:szCs w:val="24"/>
        </w:rPr>
        <w:fldChar w:fldCharType="end"/>
      </w:r>
    </w:p>
    <w:p w14:paraId="6FE7E506" w14:textId="2E0BA894" w:rsidR="00696EDE" w:rsidRPr="008C31DB" w:rsidRDefault="00696EDE" w:rsidP="00696EDE">
      <w:pPr>
        <w:rPr>
          <w:b/>
          <w:szCs w:val="24"/>
        </w:rPr>
      </w:pPr>
      <w:r w:rsidRPr="008C31DB">
        <w:rPr>
          <w:b/>
          <w:szCs w:val="24"/>
        </w:rPr>
        <w:fldChar w:fldCharType="begin"/>
      </w:r>
      <w:r w:rsidRPr="008C31DB">
        <w:rPr>
          <w:b/>
          <w:szCs w:val="24"/>
        </w:rPr>
        <w:instrText xml:space="preserve"> REF _Ref166066483 \h  \* MERGEFORMAT </w:instrText>
      </w:r>
      <w:r w:rsidRPr="008C31DB">
        <w:rPr>
          <w:b/>
          <w:szCs w:val="24"/>
        </w:rPr>
      </w:r>
      <w:r w:rsidRPr="008C31DB">
        <w:rPr>
          <w:b/>
          <w:szCs w:val="24"/>
        </w:rPr>
        <w:fldChar w:fldCharType="separate"/>
      </w:r>
      <w:r w:rsidR="001B7C91" w:rsidRPr="001B7C91">
        <w:rPr>
          <w:b/>
          <w:szCs w:val="24"/>
        </w:rPr>
        <w:t>Proposal 2: Considering constraints of the FR2-like antenna system, RAN4 should aim to implementation an FR1-like omni-directional antenna system in UE. This approach would leverage high-efficiency active technology, enable conductive conformance testing, and support four or more downlink layers within the UE at 15GHz.</w:t>
      </w:r>
      <w:r w:rsidRPr="008C31DB">
        <w:rPr>
          <w:b/>
          <w:szCs w:val="24"/>
        </w:rPr>
        <w:fldChar w:fldCharType="end"/>
      </w:r>
    </w:p>
    <w:p w14:paraId="17B1A518" w14:textId="77777777" w:rsidR="00696EDE" w:rsidRPr="008C31DB" w:rsidRDefault="00696EDE" w:rsidP="00696EDE">
      <w:pPr>
        <w:rPr>
          <w:b/>
          <w:szCs w:val="24"/>
        </w:rPr>
      </w:pPr>
    </w:p>
    <w:p w14:paraId="1F6113DB" w14:textId="2E33485E" w:rsidR="00696EDE" w:rsidRPr="008C31DB" w:rsidRDefault="00696EDE" w:rsidP="005849B8">
      <w:pPr>
        <w:rPr>
          <w:b/>
          <w:szCs w:val="24"/>
        </w:rPr>
      </w:pPr>
      <w:r w:rsidRPr="008C31DB">
        <w:rPr>
          <w:b/>
          <w:szCs w:val="24"/>
        </w:rPr>
        <w:fldChar w:fldCharType="begin"/>
      </w:r>
      <w:r w:rsidRPr="008C31DB">
        <w:rPr>
          <w:b/>
          <w:szCs w:val="24"/>
        </w:rPr>
        <w:instrText xml:space="preserve"> REF _Ref166066484 \h  \* MERGEFORMAT </w:instrText>
      </w:r>
      <w:r w:rsidRPr="008C31DB">
        <w:rPr>
          <w:b/>
          <w:szCs w:val="24"/>
        </w:rPr>
      </w:r>
      <w:r w:rsidRPr="008C31DB">
        <w:rPr>
          <w:b/>
          <w:szCs w:val="24"/>
        </w:rPr>
        <w:fldChar w:fldCharType="separate"/>
      </w:r>
      <w:r w:rsidR="001B7C91" w:rsidRPr="001B7C91">
        <w:rPr>
          <w:b/>
          <w:szCs w:val="24"/>
        </w:rPr>
        <w:t>Proposal 3: For the 15GHz UE, it is proposed to implement multiple FR1-like antennas that are co-directional and co-located, along with coherent Tx. This approach in antenna system design aims to relaxes the power requirements for the individual antenna PAs and to extend the coverage distance at 15GHz.</w:t>
      </w:r>
      <w:r w:rsidRPr="008C31DB">
        <w:rPr>
          <w:b/>
          <w:szCs w:val="24"/>
        </w:rPr>
        <w:fldChar w:fldCharType="end"/>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新細明體"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0743B4D1" w14:textId="34F722FF" w:rsidR="001D490F" w:rsidRDefault="00267432" w:rsidP="00BB2C11">
      <w:pPr>
        <w:pStyle w:val="references0"/>
        <w:rPr>
          <w:rFonts w:asciiTheme="minorHAnsi" w:eastAsiaTheme="minorEastAsia" w:hAnsiTheme="minorHAnsi" w:cstheme="minorBidi"/>
          <w:noProof w:val="0"/>
          <w:kern w:val="2"/>
          <w:sz w:val="21"/>
          <w:szCs w:val="22"/>
          <w:lang w:eastAsia="zh-CN"/>
        </w:rPr>
      </w:pPr>
      <w:r w:rsidRPr="00267432">
        <w:rPr>
          <w:rFonts w:asciiTheme="minorHAnsi" w:eastAsiaTheme="minorEastAsia" w:hAnsiTheme="minorHAnsi" w:cstheme="minorBidi"/>
          <w:noProof w:val="0"/>
          <w:kern w:val="2"/>
          <w:sz w:val="21"/>
          <w:szCs w:val="22"/>
          <w:lang w:eastAsia="zh-CN"/>
        </w:rPr>
        <w:t>R</w:t>
      </w:r>
      <w:r w:rsidR="00A10F55">
        <w:rPr>
          <w:rFonts w:asciiTheme="minorHAnsi" w:eastAsia="新細明體" w:hAnsiTheme="minorHAnsi" w:cstheme="minorBidi" w:hint="eastAsia"/>
          <w:noProof w:val="0"/>
          <w:kern w:val="2"/>
          <w:sz w:val="21"/>
          <w:szCs w:val="22"/>
          <w:lang w:eastAsia="zh-TW"/>
        </w:rPr>
        <w:t>P</w:t>
      </w:r>
      <w:r w:rsidR="00A10F55">
        <w:rPr>
          <w:rFonts w:asciiTheme="minorHAnsi" w:eastAsia="新細明體" w:hAnsiTheme="minorHAnsi" w:cstheme="minorBidi"/>
          <w:noProof w:val="0"/>
          <w:kern w:val="2"/>
          <w:sz w:val="21"/>
          <w:szCs w:val="22"/>
          <w:lang w:eastAsia="zh-TW"/>
        </w:rPr>
        <w:t>-240787</w:t>
      </w:r>
      <w:r w:rsidR="00BB2C11">
        <w:rPr>
          <w:rFonts w:asciiTheme="minorHAnsi" w:eastAsiaTheme="minorEastAsia" w:hAnsiTheme="minorHAnsi" w:cstheme="minorBidi"/>
          <w:noProof w:val="0"/>
          <w:kern w:val="2"/>
          <w:sz w:val="21"/>
          <w:szCs w:val="22"/>
          <w:lang w:eastAsia="zh-CN"/>
        </w:rPr>
        <w:t>, “</w:t>
      </w:r>
      <w:r w:rsidR="00A10F55" w:rsidRPr="00A10F55">
        <w:rPr>
          <w:rFonts w:asciiTheme="minorHAnsi" w:eastAsiaTheme="minorEastAsia" w:hAnsiTheme="minorHAnsi" w:cstheme="minorBidi"/>
          <w:noProof w:val="0"/>
          <w:kern w:val="2"/>
          <w:sz w:val="21"/>
          <w:szCs w:val="22"/>
          <w:lang w:eastAsia="zh-CN"/>
        </w:rPr>
        <w:t>New SI proposal: Study on IMT parameters for 4400 to 4800 MHz, 7125 to 8400 MHz and 14800 to 15350 MHz</w:t>
      </w:r>
      <w:r w:rsidR="00BB2C11">
        <w:rPr>
          <w:rFonts w:asciiTheme="minorHAnsi" w:eastAsiaTheme="minorEastAsia" w:hAnsiTheme="minorHAnsi" w:cstheme="minorBidi"/>
          <w:noProof w:val="0"/>
          <w:kern w:val="2"/>
          <w:sz w:val="21"/>
          <w:szCs w:val="22"/>
          <w:lang w:eastAsia="zh-CN"/>
        </w:rPr>
        <w:t xml:space="preserve">”, </w:t>
      </w:r>
      <w:r w:rsidR="00A10F55" w:rsidRPr="00A10F55">
        <w:rPr>
          <w:rFonts w:asciiTheme="minorHAnsi" w:eastAsiaTheme="minorEastAsia" w:hAnsiTheme="minorHAnsi" w:cstheme="minorBidi"/>
          <w:noProof w:val="0"/>
          <w:kern w:val="2"/>
          <w:sz w:val="21"/>
          <w:szCs w:val="22"/>
          <w:lang w:eastAsia="zh-CN"/>
        </w:rPr>
        <w:t>Ericsson</w:t>
      </w:r>
    </w:p>
    <w:p w14:paraId="79B89449" w14:textId="2EA87940" w:rsidR="008C197A" w:rsidRDefault="008C197A" w:rsidP="00DD5A57">
      <w:pPr>
        <w:pStyle w:val="references0"/>
        <w:rPr>
          <w:rFonts w:asciiTheme="minorHAnsi" w:eastAsiaTheme="minorEastAsia" w:hAnsiTheme="minorHAnsi" w:cstheme="minorBidi"/>
          <w:noProof w:val="0"/>
          <w:kern w:val="2"/>
          <w:sz w:val="21"/>
          <w:szCs w:val="22"/>
          <w:lang w:eastAsia="zh-CN"/>
        </w:rPr>
      </w:pPr>
      <w:r w:rsidRPr="00A10F55">
        <w:rPr>
          <w:rFonts w:asciiTheme="minorHAnsi" w:eastAsiaTheme="minorEastAsia" w:hAnsiTheme="minorHAnsi" w:cstheme="minorBidi"/>
          <w:noProof w:val="0"/>
          <w:kern w:val="2"/>
          <w:sz w:val="21"/>
          <w:szCs w:val="22"/>
          <w:lang w:eastAsia="zh-CN"/>
        </w:rPr>
        <w:t>R4-2</w:t>
      </w:r>
      <w:r w:rsidR="00A10F55" w:rsidRPr="00A10F55">
        <w:rPr>
          <w:rFonts w:asciiTheme="minorHAnsi" w:eastAsiaTheme="minorEastAsia" w:hAnsiTheme="minorHAnsi" w:cstheme="minorBidi"/>
          <w:noProof w:val="0"/>
          <w:kern w:val="2"/>
          <w:sz w:val="21"/>
          <w:szCs w:val="22"/>
          <w:lang w:eastAsia="zh-CN"/>
        </w:rPr>
        <w:t>400333</w:t>
      </w:r>
      <w:r w:rsidRPr="00A10F55">
        <w:rPr>
          <w:rFonts w:asciiTheme="minorHAnsi" w:eastAsiaTheme="minorEastAsia" w:hAnsiTheme="minorHAnsi" w:cstheme="minorBidi"/>
          <w:noProof w:val="0"/>
          <w:kern w:val="2"/>
          <w:sz w:val="21"/>
          <w:szCs w:val="22"/>
          <w:lang w:eastAsia="zh-CN"/>
        </w:rPr>
        <w:t>, “</w:t>
      </w:r>
      <w:r w:rsidR="00A10F55" w:rsidRPr="00A10F55">
        <w:rPr>
          <w:rFonts w:asciiTheme="minorHAnsi" w:eastAsiaTheme="minorEastAsia" w:hAnsiTheme="minorHAnsi" w:cstheme="minorBidi"/>
          <w:noProof w:val="0"/>
          <w:kern w:val="2"/>
          <w:sz w:val="21"/>
          <w:szCs w:val="22"/>
          <w:lang w:eastAsia="zh-CN"/>
        </w:rPr>
        <w:t>Parameters of terrestrial component of IMT for sharing and compatibility studies in the frequency bands 4 400-4 800 MHz, 7 125-8 400 MHz and 14.8-15.35 GHz</w:t>
      </w:r>
      <w:r w:rsidRPr="00A10F55">
        <w:rPr>
          <w:rFonts w:asciiTheme="minorHAnsi" w:eastAsiaTheme="minorEastAsia" w:hAnsiTheme="minorHAnsi" w:cstheme="minorBidi"/>
          <w:noProof w:val="0"/>
          <w:kern w:val="2"/>
          <w:sz w:val="21"/>
          <w:szCs w:val="22"/>
          <w:lang w:eastAsia="zh-CN"/>
        </w:rPr>
        <w:t xml:space="preserve">”, </w:t>
      </w:r>
      <w:r w:rsidR="00A10F55" w:rsidRPr="00A10F55">
        <w:rPr>
          <w:rFonts w:asciiTheme="minorHAnsi" w:eastAsiaTheme="minorEastAsia" w:hAnsiTheme="minorHAnsi" w:cstheme="minorBidi"/>
          <w:noProof w:val="0"/>
          <w:kern w:val="2"/>
          <w:sz w:val="21"/>
          <w:szCs w:val="22"/>
          <w:lang w:eastAsia="zh-CN"/>
        </w:rPr>
        <w:t>ITU-R Working Party 5D</w:t>
      </w:r>
    </w:p>
    <w:p w14:paraId="1040595B" w14:textId="0DD86488" w:rsidR="00F83102" w:rsidRPr="00A10F55" w:rsidRDefault="00F83102" w:rsidP="00DD5A57">
      <w:pPr>
        <w:pStyle w:val="references0"/>
        <w:rPr>
          <w:rFonts w:asciiTheme="minorHAnsi" w:eastAsiaTheme="minorEastAsia" w:hAnsiTheme="minorHAnsi" w:cstheme="minorBidi"/>
          <w:noProof w:val="0"/>
          <w:kern w:val="2"/>
          <w:sz w:val="21"/>
          <w:szCs w:val="22"/>
          <w:lang w:eastAsia="zh-CN"/>
        </w:rPr>
      </w:pPr>
      <w:r w:rsidRPr="00F83102">
        <w:rPr>
          <w:rFonts w:asciiTheme="minorHAnsi" w:eastAsiaTheme="minorEastAsia" w:hAnsiTheme="minorHAnsi" w:cstheme="minorBidi"/>
          <w:noProof w:val="0"/>
          <w:kern w:val="2"/>
          <w:sz w:val="21"/>
          <w:szCs w:val="22"/>
          <w:lang w:eastAsia="zh-CN"/>
        </w:rPr>
        <w:t>R4-2404486</w:t>
      </w:r>
      <w:r>
        <w:rPr>
          <w:rFonts w:asciiTheme="minorHAnsi" w:eastAsiaTheme="minorEastAsia" w:hAnsiTheme="minorHAnsi" w:cstheme="minorBidi"/>
          <w:noProof w:val="0"/>
          <w:kern w:val="2"/>
          <w:sz w:val="21"/>
          <w:szCs w:val="22"/>
          <w:lang w:eastAsia="zh-CN"/>
        </w:rPr>
        <w:t>, “</w:t>
      </w:r>
      <w:r w:rsidRPr="00F83102">
        <w:rPr>
          <w:rFonts w:asciiTheme="minorHAnsi" w:eastAsiaTheme="minorEastAsia" w:hAnsiTheme="minorHAnsi" w:cstheme="minorBidi"/>
          <w:noProof w:val="0"/>
          <w:kern w:val="2"/>
          <w:sz w:val="21"/>
          <w:szCs w:val="22"/>
          <w:lang w:eastAsia="zh-CN"/>
        </w:rPr>
        <w:t>Views on IMT parameters for 14800 to 15350 MHz frequency range</w:t>
      </w:r>
      <w:r>
        <w:rPr>
          <w:rFonts w:asciiTheme="minorHAnsi" w:eastAsiaTheme="minorEastAsia" w:hAnsiTheme="minorHAnsi" w:cstheme="minorBidi"/>
          <w:noProof w:val="0"/>
          <w:kern w:val="2"/>
          <w:sz w:val="21"/>
          <w:szCs w:val="22"/>
          <w:lang w:eastAsia="zh-CN"/>
        </w:rPr>
        <w:t xml:space="preserve">”, </w:t>
      </w:r>
      <w:r w:rsidRPr="00F83102">
        <w:rPr>
          <w:rFonts w:asciiTheme="minorHAnsi" w:eastAsiaTheme="minorEastAsia" w:hAnsiTheme="minorHAnsi" w:cstheme="minorBidi"/>
          <w:noProof w:val="0"/>
          <w:kern w:val="2"/>
          <w:sz w:val="21"/>
          <w:szCs w:val="22"/>
          <w:lang w:eastAsia="zh-CN"/>
        </w:rPr>
        <w:t>MediaTek Inc.</w:t>
      </w:r>
    </w:p>
    <w:sectPr w:rsidR="00F83102" w:rsidRPr="00A10F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88056" w14:textId="77777777" w:rsidR="00D6798C" w:rsidRDefault="00D6798C">
      <w:r>
        <w:separator/>
      </w:r>
    </w:p>
  </w:endnote>
  <w:endnote w:type="continuationSeparator" w:id="0">
    <w:p w14:paraId="406A5C6C" w14:textId="77777777" w:rsidR="00D6798C" w:rsidRDefault="00D6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7F7CB" w14:textId="77777777" w:rsidR="00D6798C" w:rsidRDefault="00D6798C">
      <w:r>
        <w:separator/>
      </w:r>
    </w:p>
  </w:footnote>
  <w:footnote w:type="continuationSeparator" w:id="0">
    <w:p w14:paraId="0D5C1538" w14:textId="77777777" w:rsidR="00D6798C" w:rsidRDefault="00D67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F8263D6"/>
    <w:multiLevelType w:val="hybridMultilevel"/>
    <w:tmpl w:val="C04EF5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3EF3926"/>
    <w:multiLevelType w:val="hybridMultilevel"/>
    <w:tmpl w:val="2A4638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83E00"/>
    <w:multiLevelType w:val="hybridMultilevel"/>
    <w:tmpl w:val="79C4F4F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915EB8"/>
    <w:multiLevelType w:val="hybridMultilevel"/>
    <w:tmpl w:val="C486BEAA"/>
    <w:lvl w:ilvl="0" w:tplc="DB60718C">
      <w:start w:val="1"/>
      <w:numFmt w:val="bullet"/>
      <w:lvlText w:val="•"/>
      <w:lvlJc w:val="left"/>
      <w:pPr>
        <w:ind w:left="647" w:hanging="420"/>
      </w:pPr>
      <w:rPr>
        <w:rFonts w:ascii="Arial" w:hAnsi="Arial" w:hint="default"/>
      </w:rPr>
    </w:lvl>
    <w:lvl w:ilvl="1" w:tplc="DB60718C">
      <w:start w:val="1"/>
      <w:numFmt w:val="bullet"/>
      <w:lvlText w:val="•"/>
      <w:lvlJc w:val="left"/>
      <w:pPr>
        <w:ind w:left="1067" w:hanging="420"/>
      </w:pPr>
      <w:rPr>
        <w:rFonts w:ascii="Arial" w:hAnsi="Arial" w:hint="default"/>
      </w:rPr>
    </w:lvl>
    <w:lvl w:ilvl="2" w:tplc="04090005">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16cid:durableId="1981763696">
    <w:abstractNumId w:val="22"/>
  </w:num>
  <w:num w:numId="2" w16cid:durableId="1348750690">
    <w:abstractNumId w:val="14"/>
  </w:num>
  <w:num w:numId="3" w16cid:durableId="1397120190">
    <w:abstractNumId w:val="2"/>
  </w:num>
  <w:num w:numId="4" w16cid:durableId="1152059548">
    <w:abstractNumId w:val="0"/>
  </w:num>
  <w:num w:numId="5" w16cid:durableId="1152257722">
    <w:abstractNumId w:val="18"/>
    <w:lvlOverride w:ilvl="0">
      <w:startOverride w:val="1"/>
    </w:lvlOverride>
  </w:num>
  <w:num w:numId="6" w16cid:durableId="358438819">
    <w:abstractNumId w:val="24"/>
  </w:num>
  <w:num w:numId="7" w16cid:durableId="667296059">
    <w:abstractNumId w:val="20"/>
  </w:num>
  <w:num w:numId="8" w16cid:durableId="777673750">
    <w:abstractNumId w:val="5"/>
  </w:num>
  <w:num w:numId="9" w16cid:durableId="387873894">
    <w:abstractNumId w:val="27"/>
  </w:num>
  <w:num w:numId="10" w16cid:durableId="1781412029">
    <w:abstractNumId w:val="4"/>
  </w:num>
  <w:num w:numId="11" w16cid:durableId="1011032453">
    <w:abstractNumId w:val="17"/>
  </w:num>
  <w:num w:numId="12" w16cid:durableId="1819808486">
    <w:abstractNumId w:val="26"/>
  </w:num>
  <w:num w:numId="13" w16cid:durableId="1825657087">
    <w:abstractNumId w:val="15"/>
  </w:num>
  <w:num w:numId="14" w16cid:durableId="1299067652">
    <w:abstractNumId w:val="10"/>
  </w:num>
  <w:num w:numId="15" w16cid:durableId="2138840560">
    <w:abstractNumId w:val="19"/>
  </w:num>
  <w:num w:numId="16" w16cid:durableId="1392651413">
    <w:abstractNumId w:val="1"/>
  </w:num>
  <w:num w:numId="17" w16cid:durableId="2011567560">
    <w:abstractNumId w:val="6"/>
  </w:num>
  <w:num w:numId="18" w16cid:durableId="723993606">
    <w:abstractNumId w:val="16"/>
  </w:num>
  <w:num w:numId="19" w16cid:durableId="939333829">
    <w:abstractNumId w:val="8"/>
  </w:num>
  <w:num w:numId="20" w16cid:durableId="1204489497">
    <w:abstractNumId w:val="12"/>
  </w:num>
  <w:num w:numId="21" w16cid:durableId="1083525009">
    <w:abstractNumId w:val="15"/>
  </w:num>
  <w:num w:numId="22" w16cid:durableId="1682197347">
    <w:abstractNumId w:val="16"/>
  </w:num>
  <w:num w:numId="23" w16cid:durableId="7222752">
    <w:abstractNumId w:val="21"/>
  </w:num>
  <w:num w:numId="24" w16cid:durableId="1632127901">
    <w:abstractNumId w:val="3"/>
  </w:num>
  <w:num w:numId="25" w16cid:durableId="584454912">
    <w:abstractNumId w:val="13"/>
  </w:num>
  <w:num w:numId="26" w16cid:durableId="882912903">
    <w:abstractNumId w:val="23"/>
  </w:num>
  <w:num w:numId="27" w16cid:durableId="1367832595">
    <w:abstractNumId w:val="20"/>
  </w:num>
  <w:num w:numId="28" w16cid:durableId="248389344">
    <w:abstractNumId w:val="20"/>
  </w:num>
  <w:num w:numId="29" w16cid:durableId="315571059">
    <w:abstractNumId w:val="9"/>
  </w:num>
  <w:num w:numId="30" w16cid:durableId="2080326535">
    <w:abstractNumId w:val="28"/>
  </w:num>
  <w:num w:numId="31" w16cid:durableId="1311596109">
    <w:abstractNumId w:val="11"/>
  </w:num>
  <w:num w:numId="32" w16cid:durableId="2051689951">
    <w:abstractNumId w:val="25"/>
  </w:num>
  <w:num w:numId="33" w16cid:durableId="304510469">
    <w:abstractNumId w:val="20"/>
  </w:num>
  <w:num w:numId="34" w16cid:durableId="1965574959">
    <w:abstractNumId w:val="20"/>
  </w:num>
  <w:num w:numId="35" w16cid:durableId="189546257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6C8"/>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95A"/>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7CC"/>
    <w:rsid w:val="000A596D"/>
    <w:rsid w:val="000A5A37"/>
    <w:rsid w:val="000A5CFC"/>
    <w:rsid w:val="000A5DA4"/>
    <w:rsid w:val="000A66CF"/>
    <w:rsid w:val="000A6894"/>
    <w:rsid w:val="000A68FD"/>
    <w:rsid w:val="000A6A20"/>
    <w:rsid w:val="000A6FE8"/>
    <w:rsid w:val="000A7726"/>
    <w:rsid w:val="000A77F2"/>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71E"/>
    <w:rsid w:val="000F6969"/>
    <w:rsid w:val="000F6E42"/>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943"/>
    <w:rsid w:val="001779B5"/>
    <w:rsid w:val="001800E8"/>
    <w:rsid w:val="001801CA"/>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468"/>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C91"/>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C69"/>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2F3"/>
    <w:rsid w:val="001F7402"/>
    <w:rsid w:val="001F74C3"/>
    <w:rsid w:val="001F7601"/>
    <w:rsid w:val="001F7BB2"/>
    <w:rsid w:val="001F7D48"/>
    <w:rsid w:val="001F7E57"/>
    <w:rsid w:val="0020044D"/>
    <w:rsid w:val="0020051C"/>
    <w:rsid w:val="00200DBD"/>
    <w:rsid w:val="00200FC8"/>
    <w:rsid w:val="00201DAC"/>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1B8"/>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90E"/>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8E6"/>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94B"/>
    <w:rsid w:val="00255BF0"/>
    <w:rsid w:val="00255CE8"/>
    <w:rsid w:val="00255D29"/>
    <w:rsid w:val="00255D9E"/>
    <w:rsid w:val="00255F92"/>
    <w:rsid w:val="00256225"/>
    <w:rsid w:val="00256264"/>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36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DBE"/>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6A"/>
    <w:rsid w:val="002C1D8E"/>
    <w:rsid w:val="002C2BBC"/>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887"/>
    <w:rsid w:val="002D18AA"/>
    <w:rsid w:val="002D1960"/>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8C"/>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70"/>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910"/>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A0C"/>
    <w:rsid w:val="00365B13"/>
    <w:rsid w:val="00365D8F"/>
    <w:rsid w:val="0036634E"/>
    <w:rsid w:val="0036652C"/>
    <w:rsid w:val="0036658D"/>
    <w:rsid w:val="0036694E"/>
    <w:rsid w:val="0036717B"/>
    <w:rsid w:val="00367473"/>
    <w:rsid w:val="003674B3"/>
    <w:rsid w:val="003676B4"/>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6B1"/>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090"/>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91F"/>
    <w:rsid w:val="00421B79"/>
    <w:rsid w:val="004220D1"/>
    <w:rsid w:val="004221F3"/>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29D"/>
    <w:rsid w:val="004442C9"/>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277"/>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8BF"/>
    <w:rsid w:val="004C3A13"/>
    <w:rsid w:val="004C3B77"/>
    <w:rsid w:val="004C412F"/>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3E0E"/>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75F9"/>
    <w:rsid w:val="0055767B"/>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9B8"/>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AE"/>
    <w:rsid w:val="005E38B2"/>
    <w:rsid w:val="005E40EE"/>
    <w:rsid w:val="005E4A4F"/>
    <w:rsid w:val="005E4C5C"/>
    <w:rsid w:val="005E5A6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30"/>
    <w:rsid w:val="00645FB8"/>
    <w:rsid w:val="00645FE9"/>
    <w:rsid w:val="00646442"/>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479"/>
    <w:rsid w:val="0068651A"/>
    <w:rsid w:val="00686A14"/>
    <w:rsid w:val="00686D11"/>
    <w:rsid w:val="00687081"/>
    <w:rsid w:val="00687268"/>
    <w:rsid w:val="00687331"/>
    <w:rsid w:val="0068771B"/>
    <w:rsid w:val="00687938"/>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6EDE"/>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6CDC"/>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2F5"/>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A29"/>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0C6C"/>
    <w:rsid w:val="00771F4C"/>
    <w:rsid w:val="0077214D"/>
    <w:rsid w:val="00772159"/>
    <w:rsid w:val="00772572"/>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109C"/>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3D9"/>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E6F"/>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5F04"/>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664"/>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3C4E"/>
    <w:rsid w:val="00864277"/>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4F"/>
    <w:rsid w:val="0086778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2CF"/>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31DB"/>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16"/>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6D3F"/>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A45"/>
    <w:rsid w:val="00975DB9"/>
    <w:rsid w:val="00976034"/>
    <w:rsid w:val="00976E48"/>
    <w:rsid w:val="0097779D"/>
    <w:rsid w:val="009779AE"/>
    <w:rsid w:val="00977D00"/>
    <w:rsid w:val="00977E14"/>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CB1"/>
    <w:rsid w:val="00A05FC1"/>
    <w:rsid w:val="00A060E9"/>
    <w:rsid w:val="00A06B2E"/>
    <w:rsid w:val="00A06B3D"/>
    <w:rsid w:val="00A07250"/>
    <w:rsid w:val="00A076B3"/>
    <w:rsid w:val="00A078AA"/>
    <w:rsid w:val="00A07C3C"/>
    <w:rsid w:val="00A10156"/>
    <w:rsid w:val="00A10CB1"/>
    <w:rsid w:val="00A10F55"/>
    <w:rsid w:val="00A111E1"/>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28B3"/>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CC2"/>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4"/>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0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6C1"/>
    <w:rsid w:val="00BC2762"/>
    <w:rsid w:val="00BC3062"/>
    <w:rsid w:val="00BC330C"/>
    <w:rsid w:val="00BC3509"/>
    <w:rsid w:val="00BC3759"/>
    <w:rsid w:val="00BC3841"/>
    <w:rsid w:val="00BC3DE3"/>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8BA"/>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0B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2CD4"/>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53E"/>
    <w:rsid w:val="00C1670C"/>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246"/>
    <w:rsid w:val="00C2465B"/>
    <w:rsid w:val="00C248D1"/>
    <w:rsid w:val="00C24DAF"/>
    <w:rsid w:val="00C257E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30ED"/>
    <w:rsid w:val="00C43875"/>
    <w:rsid w:val="00C4387A"/>
    <w:rsid w:val="00C43FF0"/>
    <w:rsid w:val="00C4439A"/>
    <w:rsid w:val="00C44DCB"/>
    <w:rsid w:val="00C45063"/>
    <w:rsid w:val="00C452B1"/>
    <w:rsid w:val="00C45344"/>
    <w:rsid w:val="00C45746"/>
    <w:rsid w:val="00C45755"/>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3CCD"/>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EBD"/>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084"/>
    <w:rsid w:val="00CD43BF"/>
    <w:rsid w:val="00CD44E3"/>
    <w:rsid w:val="00CD4BAB"/>
    <w:rsid w:val="00CD4C64"/>
    <w:rsid w:val="00CD4FA8"/>
    <w:rsid w:val="00CD5E70"/>
    <w:rsid w:val="00CD5ED8"/>
    <w:rsid w:val="00CD5F26"/>
    <w:rsid w:val="00CD621D"/>
    <w:rsid w:val="00CD6241"/>
    <w:rsid w:val="00CD6536"/>
    <w:rsid w:val="00CD65E7"/>
    <w:rsid w:val="00CD6994"/>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DFC"/>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BD8"/>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6D67"/>
    <w:rsid w:val="00D5708E"/>
    <w:rsid w:val="00D572C9"/>
    <w:rsid w:val="00D573E5"/>
    <w:rsid w:val="00D576F4"/>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98C"/>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3F9E"/>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51B"/>
    <w:rsid w:val="00D7754B"/>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12A"/>
    <w:rsid w:val="00E4263F"/>
    <w:rsid w:val="00E4298A"/>
    <w:rsid w:val="00E42FB1"/>
    <w:rsid w:val="00E4311F"/>
    <w:rsid w:val="00E434BA"/>
    <w:rsid w:val="00E438C5"/>
    <w:rsid w:val="00E43A76"/>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7D"/>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920"/>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BA0"/>
    <w:rsid w:val="00EB1BBB"/>
    <w:rsid w:val="00EB1BFF"/>
    <w:rsid w:val="00EB281F"/>
    <w:rsid w:val="00EB2B96"/>
    <w:rsid w:val="00EB3243"/>
    <w:rsid w:val="00EB3276"/>
    <w:rsid w:val="00EB3568"/>
    <w:rsid w:val="00EB3961"/>
    <w:rsid w:val="00EB3D57"/>
    <w:rsid w:val="00EB3E64"/>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1E1D"/>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C97"/>
    <w:rsid w:val="00EE2FE7"/>
    <w:rsid w:val="00EE37E5"/>
    <w:rsid w:val="00EE3B1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106"/>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3F2A"/>
    <w:rsid w:val="00F3423B"/>
    <w:rsid w:val="00F3430E"/>
    <w:rsid w:val="00F343E8"/>
    <w:rsid w:val="00F349F2"/>
    <w:rsid w:val="00F34A09"/>
    <w:rsid w:val="00F34C15"/>
    <w:rsid w:val="00F3680A"/>
    <w:rsid w:val="00F3697A"/>
    <w:rsid w:val="00F36C0C"/>
    <w:rsid w:val="00F37392"/>
    <w:rsid w:val="00F37647"/>
    <w:rsid w:val="00F37AF1"/>
    <w:rsid w:val="00F37B13"/>
    <w:rsid w:val="00F401B1"/>
    <w:rsid w:val="00F406C2"/>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568"/>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102"/>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53B"/>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B7D"/>
    <w:rsid w:val="00FD4BCE"/>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29D"/>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442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429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SimSun"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SimSun"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SimSun"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SimSun"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5823647">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861564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996503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412279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7459174">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36670133">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1523205">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196997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574976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778860">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MTK - Ato Yu</cp:lastModifiedBy>
  <cp:revision>18</cp:revision>
  <dcterms:created xsi:type="dcterms:W3CDTF">2024-05-08T07:15:00Z</dcterms:created>
  <dcterms:modified xsi:type="dcterms:W3CDTF">2024-05-12T10:17:00Z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